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864B" w14:textId="77777777" w:rsidR="005B3E2C" w:rsidRPr="005B3E2C" w:rsidRDefault="005B3E2C" w:rsidP="005B3E2C">
      <w:pPr>
        <w:jc w:val="center"/>
        <w:rPr>
          <w:rFonts w:ascii="Arial" w:hAnsi="Arial" w:cs="Arial"/>
        </w:rPr>
      </w:pPr>
      <w:r w:rsidRPr="005B3E2C">
        <w:rPr>
          <w:rFonts w:ascii="Arial" w:hAnsi="Arial" w:cs="Arial"/>
          <w:b/>
          <w:bCs/>
        </w:rPr>
        <w:t>BUILDINGS AND CONSTRUCTION TRIBUNAL: STANDARD OPERATIONAL PROCEDURE FOR THE HANDLING OF APPEALS</w:t>
      </w:r>
    </w:p>
    <w:p w14:paraId="7E072544" w14:textId="77777777" w:rsidR="007C702E" w:rsidRDefault="005B3E2C" w:rsidP="005B3E2C">
      <w:pPr>
        <w:rPr>
          <w:rFonts w:ascii="Arial" w:hAnsi="Arial" w:cs="Arial"/>
        </w:rPr>
      </w:pPr>
      <w:r w:rsidRPr="005B3E2C">
        <w:rPr>
          <w:rFonts w:ascii="Arial" w:hAnsi="Arial" w:cs="Arial"/>
          <w:b/>
          <w:bCs/>
        </w:rPr>
        <w:t>Purpose</w:t>
      </w:r>
      <w:r w:rsidRPr="005B3E2C">
        <w:rPr>
          <w:rFonts w:ascii="Arial" w:hAnsi="Arial" w:cs="Arial"/>
        </w:rPr>
        <w:br/>
      </w:r>
    </w:p>
    <w:p w14:paraId="2DEBBDAC" w14:textId="4AECEB2E" w:rsidR="005B3E2C" w:rsidRPr="005B3E2C" w:rsidRDefault="005B3E2C" w:rsidP="005B3E2C">
      <w:pPr>
        <w:rPr>
          <w:rFonts w:ascii="Arial" w:hAnsi="Arial" w:cs="Arial"/>
        </w:rPr>
      </w:pPr>
      <w:r w:rsidRPr="005B3E2C">
        <w:rPr>
          <w:rFonts w:ascii="Arial" w:hAnsi="Arial" w:cs="Arial"/>
        </w:rPr>
        <w:t>To establish a standardized process for receiving, processing, and resolving appeals, ensuring consistency, efficiency, and compliance with legal and procedural requirements as outlined in Chapter 623 of the Laws of Malta, the Building and Construction Authority Act, and related legislation.</w:t>
      </w:r>
    </w:p>
    <w:p w14:paraId="753B31EE" w14:textId="76AB0FE3" w:rsidR="0069033B" w:rsidRDefault="005B3E2C" w:rsidP="005B3E2C">
      <w:pPr>
        <w:rPr>
          <w:rFonts w:ascii="Arial" w:hAnsi="Arial" w:cs="Arial"/>
        </w:rPr>
      </w:pPr>
      <w:r w:rsidRPr="005B3E2C">
        <w:rPr>
          <w:rFonts w:ascii="Arial" w:hAnsi="Arial" w:cs="Arial"/>
          <w:b/>
          <w:bCs/>
        </w:rPr>
        <w:t>Scope</w:t>
      </w:r>
    </w:p>
    <w:p w14:paraId="47D83278" w14:textId="0E15CBE1" w:rsidR="005B3E2C" w:rsidRPr="005B3E2C" w:rsidRDefault="005B3E2C" w:rsidP="005B3E2C">
      <w:pPr>
        <w:rPr>
          <w:rFonts w:ascii="Arial" w:hAnsi="Arial" w:cs="Arial"/>
        </w:rPr>
      </w:pPr>
      <w:r w:rsidRPr="005B3E2C">
        <w:rPr>
          <w:rFonts w:ascii="Arial" w:hAnsi="Arial" w:cs="Arial"/>
        </w:rPr>
        <w:t>This Standard Operational Procedure (SOP) applies to all appeals submitted to the Buildings and Construction Tribunal (BCT) via email (</w:t>
      </w:r>
      <w:hyperlink r:id="rId5" w:tgtFrame="_blank" w:history="1">
        <w:r w:rsidRPr="005B3E2C">
          <w:rPr>
            <w:rStyle w:val="Hyperlink"/>
            <w:rFonts w:ascii="Arial" w:hAnsi="Arial" w:cs="Arial"/>
          </w:rPr>
          <w:t>appeals@bct.org.mt</w:t>
        </w:r>
      </w:hyperlink>
      <w:r w:rsidRPr="005B3E2C">
        <w:rPr>
          <w:rFonts w:ascii="Arial" w:hAnsi="Arial" w:cs="Arial"/>
        </w:rPr>
        <w:t>), encompassing the stages from receipt through hearings, decision issuance,</w:t>
      </w:r>
      <w:r w:rsidR="0069033B">
        <w:rPr>
          <w:rFonts w:ascii="Arial" w:hAnsi="Arial" w:cs="Arial"/>
        </w:rPr>
        <w:t xml:space="preserve"> and</w:t>
      </w:r>
      <w:r w:rsidRPr="005B3E2C">
        <w:rPr>
          <w:rFonts w:ascii="Arial" w:hAnsi="Arial" w:cs="Arial"/>
        </w:rPr>
        <w:t xml:space="preserve"> publication</w:t>
      </w:r>
    </w:p>
    <w:p w14:paraId="35C37465" w14:textId="77777777" w:rsidR="007C702E" w:rsidRDefault="007C702E" w:rsidP="005B3E2C">
      <w:pPr>
        <w:rPr>
          <w:rFonts w:ascii="Arial" w:hAnsi="Arial" w:cs="Arial"/>
          <w:b/>
          <w:bCs/>
        </w:rPr>
      </w:pPr>
    </w:p>
    <w:p w14:paraId="4C150E45" w14:textId="732D8E92" w:rsidR="005B3E2C" w:rsidRPr="005B3E2C" w:rsidRDefault="005B3E2C" w:rsidP="005B3E2C">
      <w:pPr>
        <w:rPr>
          <w:rFonts w:ascii="Arial" w:hAnsi="Arial" w:cs="Arial"/>
        </w:rPr>
      </w:pPr>
      <w:r w:rsidRPr="005B3E2C">
        <w:rPr>
          <w:rFonts w:ascii="Arial" w:hAnsi="Arial" w:cs="Arial"/>
          <w:b/>
          <w:bCs/>
        </w:rPr>
        <w:t>Procedure</w:t>
      </w:r>
    </w:p>
    <w:p w14:paraId="0F75B136" w14:textId="23916FFE" w:rsidR="005B3E2C" w:rsidRPr="005B3E2C" w:rsidRDefault="005B3E2C" w:rsidP="005B3E2C">
      <w:pPr>
        <w:rPr>
          <w:rFonts w:ascii="Arial" w:hAnsi="Arial" w:cs="Arial"/>
          <w:b/>
          <w:bCs/>
        </w:rPr>
      </w:pPr>
      <w:r w:rsidRPr="005B3E2C">
        <w:rPr>
          <w:rFonts w:ascii="Arial" w:hAnsi="Arial" w:cs="Arial"/>
          <w:b/>
          <w:bCs/>
        </w:rPr>
        <w:t>1.</w:t>
      </w:r>
      <w:r>
        <w:rPr>
          <w:rFonts w:ascii="Arial" w:hAnsi="Arial" w:cs="Arial"/>
          <w:b/>
          <w:bCs/>
        </w:rPr>
        <w:t xml:space="preserve"> </w:t>
      </w:r>
      <w:r w:rsidRPr="005B3E2C">
        <w:rPr>
          <w:rFonts w:ascii="Arial" w:hAnsi="Arial" w:cs="Arial"/>
          <w:b/>
          <w:bCs/>
        </w:rPr>
        <w:t>Competence</w:t>
      </w:r>
    </w:p>
    <w:p w14:paraId="33195D9D" w14:textId="544919B0" w:rsidR="005B3E2C" w:rsidRDefault="005B3E2C" w:rsidP="005B3E2C">
      <w:pPr>
        <w:rPr>
          <w:rFonts w:ascii="Arial" w:hAnsi="Arial" w:cs="Arial"/>
        </w:rPr>
      </w:pPr>
      <w:r w:rsidRPr="005B3E2C">
        <w:rPr>
          <w:rFonts w:ascii="Arial" w:hAnsi="Arial" w:cs="Arial"/>
        </w:rPr>
        <w:t>The Buildings and Construction Tribunal shall have the competence to:</w:t>
      </w:r>
    </w:p>
    <w:p w14:paraId="1B929129" w14:textId="136B602A" w:rsidR="005B3E2C" w:rsidRDefault="005B3E2C" w:rsidP="005B3E2C">
      <w:pPr>
        <w:rPr>
          <w:rFonts w:ascii="Arial" w:hAnsi="Arial" w:cs="Arial"/>
        </w:rPr>
      </w:pPr>
      <w:r w:rsidRPr="005B3E2C">
        <w:rPr>
          <w:rFonts w:ascii="Arial" w:hAnsi="Arial" w:cs="Arial"/>
        </w:rPr>
        <w:t>(a) Hear</w:t>
      </w:r>
      <w:r w:rsidR="0033652C">
        <w:rPr>
          <w:rFonts w:ascii="Arial" w:hAnsi="Arial" w:cs="Arial"/>
        </w:rPr>
        <w:t xml:space="preserve"> and decide</w:t>
      </w:r>
      <w:r w:rsidRPr="005B3E2C">
        <w:rPr>
          <w:rFonts w:ascii="Arial" w:hAnsi="Arial" w:cs="Arial"/>
        </w:rPr>
        <w:t xml:space="preserve"> appeals submitted by any person against decisions, orders, or administrative instruments issued by the Building and Construction Authority (BCA); and</w:t>
      </w:r>
    </w:p>
    <w:p w14:paraId="125F667D" w14:textId="1954DBF7" w:rsidR="0069033B" w:rsidRPr="003B1742" w:rsidRDefault="005B3E2C" w:rsidP="005B3E2C">
      <w:pPr>
        <w:rPr>
          <w:rFonts w:ascii="Arial" w:hAnsi="Arial" w:cs="Arial"/>
        </w:rPr>
      </w:pPr>
      <w:r w:rsidRPr="005B3E2C">
        <w:rPr>
          <w:rFonts w:ascii="Arial" w:hAnsi="Arial" w:cs="Arial"/>
        </w:rPr>
        <w:t xml:space="preserve">(b) </w:t>
      </w:r>
      <w:r w:rsidR="0033652C">
        <w:rPr>
          <w:rFonts w:ascii="Arial" w:hAnsi="Arial" w:cs="Arial"/>
        </w:rPr>
        <w:t>H</w:t>
      </w:r>
      <w:r w:rsidR="0033652C" w:rsidRPr="0033652C">
        <w:rPr>
          <w:rFonts w:ascii="Arial" w:hAnsi="Arial" w:cs="Arial"/>
        </w:rPr>
        <w:t>ear and decide appeals made by a person aggrieved on points of law and, or points of fact on any decision of the Authority</w:t>
      </w:r>
      <w:r w:rsidRPr="005B3E2C">
        <w:rPr>
          <w:rFonts w:ascii="Arial" w:hAnsi="Arial" w:cs="Arial"/>
        </w:rPr>
        <w:t>.</w:t>
      </w:r>
      <w:r w:rsidRPr="005B3E2C">
        <w:rPr>
          <w:rFonts w:ascii="Arial" w:hAnsi="Arial" w:cs="Arial"/>
        </w:rPr>
        <w:br/>
      </w:r>
    </w:p>
    <w:p w14:paraId="25D87A02" w14:textId="73E0CE83" w:rsidR="005B3E2C" w:rsidRDefault="005B3E2C" w:rsidP="005B3E2C">
      <w:pPr>
        <w:rPr>
          <w:rFonts w:ascii="Arial" w:hAnsi="Arial" w:cs="Arial"/>
        </w:rPr>
      </w:pPr>
      <w:r w:rsidRPr="005B3E2C">
        <w:rPr>
          <w:rFonts w:ascii="Arial" w:hAnsi="Arial" w:cs="Arial"/>
          <w:b/>
          <w:bCs/>
        </w:rPr>
        <w:t>2. Right of Appeal</w:t>
      </w:r>
      <w:r w:rsidRPr="005B3E2C">
        <w:rPr>
          <w:rFonts w:ascii="Arial" w:hAnsi="Arial" w:cs="Arial"/>
        </w:rPr>
        <w:br/>
      </w:r>
    </w:p>
    <w:p w14:paraId="31CE917C" w14:textId="53CD9B54" w:rsidR="005B3E2C" w:rsidRDefault="005B3E2C" w:rsidP="007C702E">
      <w:pPr>
        <w:rPr>
          <w:rFonts w:ascii="Arial" w:hAnsi="Arial" w:cs="Arial"/>
        </w:rPr>
      </w:pPr>
      <w:r w:rsidRPr="005B3E2C">
        <w:rPr>
          <w:rFonts w:ascii="Arial" w:hAnsi="Arial" w:cs="Arial"/>
        </w:rPr>
        <w:t xml:space="preserve">(a) Appeals must be lodged with the Tribunal via a written petition submitted by email to </w:t>
      </w:r>
      <w:hyperlink r:id="rId6" w:tgtFrame="_blank" w:history="1">
        <w:r w:rsidRPr="005B3E2C">
          <w:rPr>
            <w:rStyle w:val="Hyperlink"/>
            <w:rFonts w:ascii="Arial" w:hAnsi="Arial" w:cs="Arial"/>
          </w:rPr>
          <w:t>appeals@bct.org.mt</w:t>
        </w:r>
      </w:hyperlink>
      <w:r w:rsidRPr="005B3E2C">
        <w:rPr>
          <w:rFonts w:ascii="Arial" w:hAnsi="Arial" w:cs="Arial"/>
        </w:rPr>
        <w:t xml:space="preserve"> within twenty (20) working days from the date on which the decision, order, or </w:t>
      </w:r>
      <w:r w:rsidR="0033652C">
        <w:rPr>
          <w:rFonts w:ascii="Arial" w:hAnsi="Arial" w:cs="Arial"/>
        </w:rPr>
        <w:t xml:space="preserve">ruling </w:t>
      </w:r>
      <w:r w:rsidR="00FF1907">
        <w:rPr>
          <w:rFonts w:ascii="Arial" w:hAnsi="Arial" w:cs="Arial"/>
        </w:rPr>
        <w:t xml:space="preserve">was notified </w:t>
      </w:r>
      <w:r w:rsidRPr="005B3E2C">
        <w:rPr>
          <w:rFonts w:ascii="Arial" w:hAnsi="Arial" w:cs="Arial"/>
        </w:rPr>
        <w:t>to the appellant.</w:t>
      </w:r>
    </w:p>
    <w:p w14:paraId="556E9E69" w14:textId="77777777" w:rsidR="00737C0E" w:rsidRDefault="005B3E2C" w:rsidP="007C702E">
      <w:pPr>
        <w:rPr>
          <w:rFonts w:ascii="Arial" w:hAnsi="Arial" w:cs="Arial"/>
        </w:rPr>
      </w:pPr>
      <w:r w:rsidRPr="005B3E2C">
        <w:rPr>
          <w:rFonts w:ascii="Arial" w:hAnsi="Arial" w:cs="Arial"/>
        </w:rPr>
        <w:t>(b) An appeal on a point of law from a decision of the Tribunal may be lodged with the Court of Appeal (Inferior Jurisdiction) by means of an application filed in the registry of that court within twenty (20) days from the date of publication of the Tribunal’s decision in accordance with the law.</w:t>
      </w:r>
      <w:r w:rsidRPr="005B3E2C">
        <w:rPr>
          <w:rFonts w:ascii="Arial" w:hAnsi="Arial" w:cs="Arial"/>
        </w:rPr>
        <w:br/>
      </w:r>
      <w:r w:rsidRPr="005B3E2C">
        <w:rPr>
          <w:rFonts w:ascii="Arial" w:hAnsi="Arial" w:cs="Arial"/>
        </w:rPr>
        <w:br/>
        <w:t>(</w:t>
      </w:r>
      <w:r w:rsidR="003B1742">
        <w:rPr>
          <w:rFonts w:ascii="Arial" w:hAnsi="Arial" w:cs="Arial"/>
        </w:rPr>
        <w:t>c</w:t>
      </w:r>
      <w:r w:rsidRPr="005B3E2C">
        <w:rPr>
          <w:rFonts w:ascii="Arial" w:hAnsi="Arial" w:cs="Arial"/>
        </w:rPr>
        <w:t xml:space="preserve">) The appeal </w:t>
      </w:r>
      <w:r w:rsidR="00FE39F4">
        <w:rPr>
          <w:rFonts w:ascii="Arial" w:hAnsi="Arial" w:cs="Arial"/>
        </w:rPr>
        <w:t xml:space="preserve">shall </w:t>
      </w:r>
      <w:r w:rsidR="007E0ACC" w:rsidRPr="007E0ACC">
        <w:rPr>
          <w:rFonts w:ascii="Arial" w:hAnsi="Arial" w:cs="Arial"/>
        </w:rPr>
        <w:t xml:space="preserve">be in a form of an application, and shall: </w:t>
      </w:r>
    </w:p>
    <w:p w14:paraId="544C778B" w14:textId="1650A347" w:rsidR="00737C0E" w:rsidRDefault="007E0ACC" w:rsidP="007C702E">
      <w:pPr>
        <w:rPr>
          <w:rFonts w:ascii="Arial" w:hAnsi="Arial" w:cs="Arial"/>
        </w:rPr>
      </w:pPr>
      <w:r w:rsidRPr="007E0ACC">
        <w:rPr>
          <w:rFonts w:ascii="Arial" w:hAnsi="Arial" w:cs="Arial"/>
        </w:rPr>
        <w:t>(</w:t>
      </w:r>
      <w:proofErr w:type="spellStart"/>
      <w:r w:rsidR="00737C0E">
        <w:rPr>
          <w:rFonts w:ascii="Arial" w:hAnsi="Arial" w:cs="Arial"/>
        </w:rPr>
        <w:t>i</w:t>
      </w:r>
      <w:proofErr w:type="spellEnd"/>
      <w:r w:rsidRPr="007E0ACC">
        <w:rPr>
          <w:rFonts w:ascii="Arial" w:hAnsi="Arial" w:cs="Arial"/>
        </w:rPr>
        <w:t xml:space="preserve">)  make reference to the </w:t>
      </w:r>
      <w:proofErr w:type="gramStart"/>
      <w:r w:rsidRPr="007E0ACC">
        <w:rPr>
          <w:rFonts w:ascii="Arial" w:hAnsi="Arial" w:cs="Arial"/>
        </w:rPr>
        <w:t>Authority’s  decision</w:t>
      </w:r>
      <w:proofErr w:type="gramEnd"/>
      <w:r w:rsidR="00FE39F4">
        <w:rPr>
          <w:rFonts w:ascii="Arial" w:hAnsi="Arial" w:cs="Arial"/>
        </w:rPr>
        <w:t xml:space="preserve"> being</w:t>
      </w:r>
      <w:r w:rsidRPr="007E0ACC">
        <w:rPr>
          <w:rFonts w:ascii="Arial" w:hAnsi="Arial" w:cs="Arial"/>
        </w:rPr>
        <w:t xml:space="preserve"> appealed, and a copy thereof;  </w:t>
      </w:r>
    </w:p>
    <w:p w14:paraId="26762A49" w14:textId="015789DD" w:rsidR="00376BAA" w:rsidRDefault="007E0ACC" w:rsidP="007C702E">
      <w:pPr>
        <w:rPr>
          <w:rFonts w:ascii="Arial" w:hAnsi="Arial" w:cs="Arial"/>
        </w:rPr>
      </w:pPr>
      <w:r w:rsidRPr="007E0ACC">
        <w:rPr>
          <w:rFonts w:ascii="Arial" w:hAnsi="Arial" w:cs="Arial"/>
        </w:rPr>
        <w:t>(</w:t>
      </w:r>
      <w:r w:rsidR="00737C0E">
        <w:rPr>
          <w:rFonts w:ascii="Arial" w:hAnsi="Arial" w:cs="Arial"/>
        </w:rPr>
        <w:t>ii</w:t>
      </w:r>
      <w:r w:rsidRPr="007E0ACC">
        <w:rPr>
          <w:rFonts w:ascii="Arial" w:hAnsi="Arial" w:cs="Arial"/>
        </w:rPr>
        <w:t xml:space="preserve">) </w:t>
      </w:r>
      <w:r w:rsidR="00224B2C">
        <w:rPr>
          <w:rFonts w:ascii="Arial" w:hAnsi="Arial" w:cs="Arial"/>
        </w:rPr>
        <w:t>d</w:t>
      </w:r>
      <w:r w:rsidR="00224B2C" w:rsidRPr="00224B2C">
        <w:rPr>
          <w:rFonts w:ascii="Arial" w:hAnsi="Arial" w:cs="Arial"/>
        </w:rPr>
        <w:t xml:space="preserve">istinctly state the </w:t>
      </w:r>
      <w:proofErr w:type="gramStart"/>
      <w:r w:rsidR="00224B2C" w:rsidRPr="00224B2C">
        <w:rPr>
          <w:rFonts w:ascii="Arial" w:hAnsi="Arial" w:cs="Arial"/>
        </w:rPr>
        <w:t>head  of</w:t>
      </w:r>
      <w:proofErr w:type="gramEnd"/>
      <w:r w:rsidR="00224B2C" w:rsidRPr="00224B2C">
        <w:rPr>
          <w:rFonts w:ascii="Arial" w:hAnsi="Arial" w:cs="Arial"/>
        </w:rPr>
        <w:t xml:space="preserve">  the  decision complained of under different headings, together with reasons under each heading for which the appeal is entered</w:t>
      </w:r>
      <w:r w:rsidRPr="007E0ACC">
        <w:rPr>
          <w:rFonts w:ascii="Arial" w:hAnsi="Arial" w:cs="Arial"/>
        </w:rPr>
        <w:t xml:space="preserve">; </w:t>
      </w:r>
    </w:p>
    <w:p w14:paraId="14B34E57" w14:textId="77777777" w:rsidR="00C70EC7" w:rsidRDefault="00C70EC7" w:rsidP="007C702E">
      <w:pPr>
        <w:rPr>
          <w:rFonts w:ascii="Arial" w:hAnsi="Arial" w:cs="Arial"/>
        </w:rPr>
      </w:pPr>
      <w:r>
        <w:rPr>
          <w:rFonts w:ascii="Arial" w:hAnsi="Arial" w:cs="Arial"/>
        </w:rPr>
        <w:t>(iii</w:t>
      </w:r>
      <w:r w:rsidR="007E0ACC" w:rsidRPr="007E0ACC">
        <w:rPr>
          <w:rFonts w:ascii="Arial" w:hAnsi="Arial" w:cs="Arial"/>
        </w:rPr>
        <w:t xml:space="preserve">)  state specifically the manner in which it is desired that the decision be varied under each </w:t>
      </w:r>
      <w:proofErr w:type="gramStart"/>
      <w:r w:rsidR="007E0ACC" w:rsidRPr="007E0ACC">
        <w:rPr>
          <w:rFonts w:ascii="Arial" w:hAnsi="Arial" w:cs="Arial"/>
        </w:rPr>
        <w:t>heading;</w:t>
      </w:r>
      <w:proofErr w:type="gramEnd"/>
    </w:p>
    <w:p w14:paraId="3C14F3E2" w14:textId="77777777" w:rsidR="00C70EC7" w:rsidRDefault="007E0ACC" w:rsidP="007C702E">
      <w:pPr>
        <w:rPr>
          <w:rFonts w:ascii="Arial" w:hAnsi="Arial" w:cs="Arial"/>
        </w:rPr>
      </w:pPr>
      <w:r w:rsidRPr="007E0ACC">
        <w:rPr>
          <w:rFonts w:ascii="Arial" w:hAnsi="Arial" w:cs="Arial"/>
        </w:rPr>
        <w:t>(</w:t>
      </w:r>
      <w:r w:rsidR="00C70EC7">
        <w:rPr>
          <w:rFonts w:ascii="Arial" w:hAnsi="Arial" w:cs="Arial"/>
        </w:rPr>
        <w:t>iv</w:t>
      </w:r>
      <w:r w:rsidRPr="007E0ACC">
        <w:rPr>
          <w:rFonts w:ascii="Arial" w:hAnsi="Arial" w:cs="Arial"/>
        </w:rPr>
        <w:t>)  include all documentation which is relevant for the grounds of appeal; and</w:t>
      </w:r>
    </w:p>
    <w:p w14:paraId="44CDA312" w14:textId="5CA8A426" w:rsidR="007E0ACC" w:rsidRDefault="007E0ACC" w:rsidP="007C702E">
      <w:pPr>
        <w:rPr>
          <w:rFonts w:ascii="Arial" w:hAnsi="Arial" w:cs="Arial"/>
        </w:rPr>
      </w:pPr>
      <w:r w:rsidRPr="007E0ACC">
        <w:rPr>
          <w:rFonts w:ascii="Arial" w:hAnsi="Arial" w:cs="Arial"/>
        </w:rPr>
        <w:t>(</w:t>
      </w:r>
      <w:r w:rsidR="00C70EC7">
        <w:rPr>
          <w:rFonts w:ascii="Arial" w:hAnsi="Arial" w:cs="Arial"/>
        </w:rPr>
        <w:t>v</w:t>
      </w:r>
      <w:r w:rsidRPr="007E0ACC">
        <w:rPr>
          <w:rFonts w:ascii="Arial" w:hAnsi="Arial" w:cs="Arial"/>
        </w:rPr>
        <w:t>)  be accompanied with the payment of the appeal fee as may be prescribed by regulations made under this Act.</w:t>
      </w:r>
    </w:p>
    <w:p w14:paraId="03EBB23F" w14:textId="0E3211EF" w:rsidR="005B3E2C" w:rsidRPr="00164153" w:rsidRDefault="007E0ACC" w:rsidP="007C702E">
      <w:pPr>
        <w:pStyle w:val="ListParagraph"/>
        <w:numPr>
          <w:ilvl w:val="0"/>
          <w:numId w:val="6"/>
        </w:numPr>
        <w:rPr>
          <w:rFonts w:ascii="Arial" w:hAnsi="Arial" w:cs="Arial"/>
        </w:rPr>
      </w:pPr>
      <w:r w:rsidRPr="00164153">
        <w:rPr>
          <w:rFonts w:ascii="Arial" w:hAnsi="Arial" w:cs="Arial"/>
        </w:rPr>
        <w:lastRenderedPageBreak/>
        <w:t>The appeal should also include a</w:t>
      </w:r>
      <w:r w:rsidR="005B3E2C" w:rsidRPr="00164153">
        <w:rPr>
          <w:rFonts w:ascii="Arial" w:hAnsi="Arial" w:cs="Arial"/>
        </w:rPr>
        <w:t xml:space="preserve"> copy of all necessary documentation, including justification, and, where applicable, a technical report, all plans and drawings, site plan, PA permit, and copies of all quoted permits, decisions, or cited documents (reference numbers alone are insufficient</w:t>
      </w:r>
      <w:proofErr w:type="gramStart"/>
      <w:r w:rsidR="005B3E2C" w:rsidRPr="00164153">
        <w:rPr>
          <w:rFonts w:ascii="Arial" w:hAnsi="Arial" w:cs="Arial"/>
        </w:rPr>
        <w:t>);</w:t>
      </w:r>
      <w:proofErr w:type="gramEnd"/>
    </w:p>
    <w:p w14:paraId="46DEB1D7" w14:textId="12D1957B" w:rsidR="005B3E2C" w:rsidRPr="00164153" w:rsidRDefault="005B3E2C" w:rsidP="007C702E">
      <w:pPr>
        <w:pStyle w:val="ListParagraph"/>
        <w:numPr>
          <w:ilvl w:val="0"/>
          <w:numId w:val="6"/>
        </w:numPr>
        <w:rPr>
          <w:rFonts w:ascii="Arial" w:hAnsi="Arial" w:cs="Arial"/>
        </w:rPr>
      </w:pPr>
      <w:r w:rsidRPr="00164153">
        <w:rPr>
          <w:rFonts w:ascii="Arial" w:hAnsi="Arial" w:cs="Arial"/>
        </w:rPr>
        <w:t>The names of any witnesses the appellant intends to produce.</w:t>
      </w:r>
      <w:r w:rsidRPr="00164153">
        <w:rPr>
          <w:rFonts w:ascii="Arial" w:hAnsi="Arial" w:cs="Arial"/>
        </w:rPr>
        <w:br/>
      </w:r>
    </w:p>
    <w:p w14:paraId="46D304A3" w14:textId="346215B0" w:rsidR="005B3E2C" w:rsidRDefault="005B3E2C" w:rsidP="005B3E2C">
      <w:pPr>
        <w:rPr>
          <w:rFonts w:ascii="Arial" w:hAnsi="Arial" w:cs="Arial"/>
        </w:rPr>
      </w:pPr>
      <w:r w:rsidRPr="005B3E2C">
        <w:rPr>
          <w:rFonts w:ascii="Arial" w:hAnsi="Arial" w:cs="Arial"/>
        </w:rPr>
        <w:t>(</w:t>
      </w:r>
      <w:r w:rsidR="003B1742">
        <w:rPr>
          <w:rFonts w:ascii="Arial" w:hAnsi="Arial" w:cs="Arial"/>
        </w:rPr>
        <w:t>d</w:t>
      </w:r>
      <w:r w:rsidRPr="005B3E2C">
        <w:rPr>
          <w:rFonts w:ascii="Arial" w:hAnsi="Arial" w:cs="Arial"/>
        </w:rPr>
        <w:t>) The party against whom the appeal is made (e.g., BCA) must submit a reply addressing the allegations in the appeal within twenty (20) days from the date of notification of the appeal.</w:t>
      </w:r>
      <w:r w:rsidRPr="005B3E2C">
        <w:rPr>
          <w:rFonts w:ascii="Arial" w:hAnsi="Arial" w:cs="Arial"/>
        </w:rPr>
        <w:br/>
      </w:r>
    </w:p>
    <w:p w14:paraId="0421C8AC" w14:textId="0101EEDB" w:rsidR="005B3E2C" w:rsidRPr="005B3E2C" w:rsidRDefault="004F78E9" w:rsidP="005B3E2C">
      <w:pPr>
        <w:rPr>
          <w:rFonts w:ascii="Arial" w:hAnsi="Arial" w:cs="Arial"/>
        </w:rPr>
      </w:pPr>
      <w:r>
        <w:rPr>
          <w:rFonts w:ascii="Arial" w:hAnsi="Arial" w:cs="Arial"/>
        </w:rPr>
        <w:t>(</w:t>
      </w:r>
      <w:r w:rsidR="003B1742">
        <w:rPr>
          <w:rFonts w:ascii="Arial" w:hAnsi="Arial" w:cs="Arial"/>
        </w:rPr>
        <w:t>e</w:t>
      </w:r>
      <w:r>
        <w:rPr>
          <w:rFonts w:ascii="Arial" w:hAnsi="Arial" w:cs="Arial"/>
        </w:rPr>
        <w:t>)</w:t>
      </w:r>
      <w:r w:rsidR="005B3E2C" w:rsidRPr="005B3E2C">
        <w:rPr>
          <w:rFonts w:ascii="Arial" w:hAnsi="Arial" w:cs="Arial"/>
        </w:rPr>
        <w:t xml:space="preserve"> The appellant may withdraw their appeal after filing by submitting a note </w:t>
      </w:r>
      <w:r w:rsidR="007E0ACC">
        <w:rPr>
          <w:rFonts w:ascii="Arial" w:hAnsi="Arial" w:cs="Arial"/>
        </w:rPr>
        <w:t>to that effect and the party against whom the appeal is made (</w:t>
      </w:r>
      <w:proofErr w:type="spellStart"/>
      <w:r w:rsidR="007E0ACC">
        <w:rPr>
          <w:rFonts w:ascii="Arial" w:hAnsi="Arial" w:cs="Arial"/>
        </w:rPr>
        <w:t>eg</w:t>
      </w:r>
      <w:proofErr w:type="spellEnd"/>
      <w:r w:rsidR="007E0ACC">
        <w:rPr>
          <w:rFonts w:ascii="Arial" w:hAnsi="Arial" w:cs="Arial"/>
        </w:rPr>
        <w:t xml:space="preserve"> BCA) may also withdraw its decision, ruling or order and inform the Tribunal and the appellant accordingly by means of a note to that effect</w:t>
      </w:r>
      <w:r w:rsidR="005B3E2C" w:rsidRPr="005B3E2C">
        <w:rPr>
          <w:rFonts w:ascii="Arial" w:hAnsi="Arial" w:cs="Arial"/>
        </w:rPr>
        <w:t>.</w:t>
      </w:r>
    </w:p>
    <w:p w14:paraId="4838B9FE" w14:textId="77777777" w:rsidR="005B3E2C" w:rsidRDefault="005B3E2C" w:rsidP="005B3E2C">
      <w:pPr>
        <w:rPr>
          <w:rFonts w:ascii="Arial" w:hAnsi="Arial" w:cs="Arial"/>
          <w:b/>
          <w:bCs/>
        </w:rPr>
      </w:pPr>
    </w:p>
    <w:p w14:paraId="28A69EFC" w14:textId="7E5969EB" w:rsidR="004F78E9" w:rsidRPr="005B3E2C" w:rsidRDefault="004F78E9" w:rsidP="004F78E9">
      <w:pPr>
        <w:rPr>
          <w:rFonts w:ascii="Arial" w:hAnsi="Arial" w:cs="Arial"/>
        </w:rPr>
      </w:pPr>
      <w:r>
        <w:rPr>
          <w:rFonts w:ascii="Arial" w:hAnsi="Arial" w:cs="Arial"/>
          <w:b/>
          <w:bCs/>
        </w:rPr>
        <w:t>3</w:t>
      </w:r>
      <w:r w:rsidR="005B3E2C" w:rsidRPr="005B3E2C">
        <w:rPr>
          <w:rFonts w:ascii="Arial" w:hAnsi="Arial" w:cs="Arial"/>
          <w:b/>
          <w:bCs/>
        </w:rPr>
        <w:t>. Notify Parties and Scheduling Hearings</w:t>
      </w:r>
      <w:r w:rsidR="005B3E2C" w:rsidRPr="005B3E2C">
        <w:rPr>
          <w:rFonts w:ascii="Arial" w:hAnsi="Arial" w:cs="Arial"/>
        </w:rPr>
        <w:br/>
      </w:r>
    </w:p>
    <w:p w14:paraId="1535CD35" w14:textId="6E76F6E0" w:rsidR="005B3E2C" w:rsidRPr="005B3E2C" w:rsidRDefault="005B3E2C" w:rsidP="005B3E2C">
      <w:pPr>
        <w:rPr>
          <w:rFonts w:ascii="Arial" w:hAnsi="Arial" w:cs="Arial"/>
        </w:rPr>
      </w:pPr>
      <w:r w:rsidRPr="005B3E2C">
        <w:rPr>
          <w:rFonts w:ascii="Arial" w:hAnsi="Arial" w:cs="Arial"/>
        </w:rPr>
        <w:t>All parties (appellant, BCA, and panel) shall be informed of the hearing schedule via email, unless the Tribunal decides otherwise regarding notification responsibilities.</w:t>
      </w:r>
    </w:p>
    <w:p w14:paraId="3BE7F226" w14:textId="326C5B02" w:rsidR="005B3E2C" w:rsidRDefault="004F78E9" w:rsidP="005B3E2C">
      <w:pPr>
        <w:rPr>
          <w:rFonts w:ascii="Arial" w:hAnsi="Arial" w:cs="Arial"/>
          <w:b/>
          <w:bCs/>
        </w:rPr>
      </w:pPr>
      <w:r>
        <w:rPr>
          <w:rFonts w:ascii="Arial" w:hAnsi="Arial" w:cs="Arial"/>
          <w:b/>
          <w:bCs/>
        </w:rPr>
        <w:t>4</w:t>
      </w:r>
      <w:r w:rsidR="005B3E2C" w:rsidRPr="005B3E2C">
        <w:rPr>
          <w:rFonts w:ascii="Arial" w:hAnsi="Arial" w:cs="Arial"/>
          <w:b/>
          <w:bCs/>
        </w:rPr>
        <w:t>. Conduct of Hearings</w:t>
      </w:r>
    </w:p>
    <w:p w14:paraId="02B615DF" w14:textId="4315B57E" w:rsidR="005B3E2C" w:rsidRDefault="005B3E2C" w:rsidP="005B3E2C">
      <w:pPr>
        <w:rPr>
          <w:rFonts w:ascii="Arial" w:hAnsi="Arial" w:cs="Arial"/>
        </w:rPr>
      </w:pPr>
      <w:r w:rsidRPr="005B3E2C">
        <w:rPr>
          <w:rFonts w:ascii="Arial" w:hAnsi="Arial" w:cs="Arial"/>
        </w:rPr>
        <w:br/>
        <w:t>(a) Hearings shall be conducted</w:t>
      </w:r>
      <w:r w:rsidR="004F78E9">
        <w:rPr>
          <w:rFonts w:ascii="Arial" w:hAnsi="Arial" w:cs="Arial"/>
        </w:rPr>
        <w:t xml:space="preserve"> </w:t>
      </w:r>
      <w:r w:rsidR="007E0ACC">
        <w:rPr>
          <w:rFonts w:ascii="Arial" w:hAnsi="Arial" w:cs="Arial"/>
        </w:rPr>
        <w:t>i</w:t>
      </w:r>
      <w:r w:rsidR="007E0ACC" w:rsidRPr="007E0ACC">
        <w:rPr>
          <w:rFonts w:ascii="Arial" w:hAnsi="Arial" w:cs="Arial"/>
        </w:rPr>
        <w:t>n public, physically or by virtual means</w:t>
      </w:r>
      <w:r w:rsidRPr="005B3E2C">
        <w:rPr>
          <w:rFonts w:ascii="Arial" w:hAnsi="Arial" w:cs="Arial"/>
        </w:rPr>
        <w:t xml:space="preserve"> with the panel, BCA, appellant, and Tribunal Secretary present.</w:t>
      </w:r>
    </w:p>
    <w:p w14:paraId="16182D9E" w14:textId="61E13AAD" w:rsidR="005B3E2C" w:rsidRDefault="005B3E2C" w:rsidP="005B3E2C">
      <w:pPr>
        <w:rPr>
          <w:rFonts w:ascii="Arial" w:hAnsi="Arial" w:cs="Arial"/>
        </w:rPr>
      </w:pPr>
      <w:r w:rsidRPr="005B3E2C">
        <w:rPr>
          <w:rFonts w:ascii="Arial" w:hAnsi="Arial" w:cs="Arial"/>
        </w:rPr>
        <w:br/>
        <w:t>(</w:t>
      </w:r>
      <w:r w:rsidR="00674A93">
        <w:rPr>
          <w:rFonts w:ascii="Arial" w:hAnsi="Arial" w:cs="Arial"/>
        </w:rPr>
        <w:t>b</w:t>
      </w:r>
      <w:r w:rsidRPr="005B3E2C">
        <w:rPr>
          <w:rFonts w:ascii="Arial" w:hAnsi="Arial" w:cs="Arial"/>
        </w:rPr>
        <w:t>) The Tribunal shall not postpone a hearing unless valid reasons are presented, with the President ensuring such reasons are recorded in the postponement order.</w:t>
      </w:r>
      <w:r w:rsidRPr="005B3E2C">
        <w:rPr>
          <w:rFonts w:ascii="Arial" w:hAnsi="Arial" w:cs="Arial"/>
        </w:rPr>
        <w:br/>
      </w:r>
    </w:p>
    <w:p w14:paraId="2315F555" w14:textId="22C5188A" w:rsidR="005B3E2C" w:rsidRDefault="005B3E2C" w:rsidP="005B3E2C">
      <w:pPr>
        <w:rPr>
          <w:rFonts w:ascii="Arial" w:hAnsi="Arial" w:cs="Arial"/>
        </w:rPr>
      </w:pPr>
      <w:r w:rsidRPr="005B3E2C">
        <w:rPr>
          <w:rFonts w:ascii="Arial" w:hAnsi="Arial" w:cs="Arial"/>
        </w:rPr>
        <w:t>(</w:t>
      </w:r>
      <w:r w:rsidR="003B1742">
        <w:rPr>
          <w:rFonts w:ascii="Arial" w:hAnsi="Arial" w:cs="Arial"/>
        </w:rPr>
        <w:t>c</w:t>
      </w:r>
      <w:r w:rsidRPr="005B3E2C">
        <w:rPr>
          <w:rFonts w:ascii="Arial" w:hAnsi="Arial" w:cs="Arial"/>
        </w:rPr>
        <w:t>) Where witnesses are required, Articles 563 to 626 of the Code of Organization and Civil Procedure, Chapter 12 of the Laws of Malta, shall apply.</w:t>
      </w:r>
      <w:r w:rsidRPr="005B3E2C">
        <w:rPr>
          <w:rFonts w:ascii="Arial" w:hAnsi="Arial" w:cs="Arial"/>
        </w:rPr>
        <w:br/>
      </w:r>
    </w:p>
    <w:p w14:paraId="76AB99C0" w14:textId="26C851CE" w:rsidR="005B3E2C" w:rsidRPr="005B3E2C" w:rsidRDefault="005B3E2C" w:rsidP="00674A93">
      <w:pPr>
        <w:rPr>
          <w:rFonts w:ascii="Arial" w:hAnsi="Arial" w:cs="Arial"/>
        </w:rPr>
      </w:pPr>
      <w:r w:rsidRPr="005B3E2C">
        <w:rPr>
          <w:rFonts w:ascii="Arial" w:hAnsi="Arial" w:cs="Arial"/>
        </w:rPr>
        <w:t>(</w:t>
      </w:r>
      <w:r w:rsidR="003B1742">
        <w:rPr>
          <w:rFonts w:ascii="Arial" w:hAnsi="Arial" w:cs="Arial"/>
        </w:rPr>
        <w:t>d</w:t>
      </w:r>
      <w:r w:rsidRPr="005B3E2C">
        <w:rPr>
          <w:rFonts w:ascii="Arial" w:hAnsi="Arial" w:cs="Arial"/>
        </w:rPr>
        <w:t>) The provisions of Title IX of Book First and Title XI of Book Third of the Code of Organization and Civil Procedure, Chapter 12 of the Laws of Malta, relating to curators, shall apply mutatis mutandis to parties in Tribunal proceedings.</w:t>
      </w:r>
    </w:p>
    <w:p w14:paraId="0BBE066B" w14:textId="77777777" w:rsidR="005B3E2C" w:rsidRDefault="005B3E2C" w:rsidP="005B3E2C">
      <w:pPr>
        <w:rPr>
          <w:rFonts w:ascii="Arial" w:hAnsi="Arial" w:cs="Arial"/>
          <w:b/>
          <w:bCs/>
        </w:rPr>
      </w:pPr>
    </w:p>
    <w:p w14:paraId="3646BC2B" w14:textId="2A6C8E26" w:rsidR="005B3E2C" w:rsidRDefault="005B3E2C" w:rsidP="005B3E2C">
      <w:pPr>
        <w:rPr>
          <w:rFonts w:ascii="Arial" w:hAnsi="Arial" w:cs="Arial"/>
        </w:rPr>
      </w:pPr>
      <w:r w:rsidRPr="005B3E2C">
        <w:rPr>
          <w:rFonts w:ascii="Arial" w:hAnsi="Arial" w:cs="Arial"/>
          <w:b/>
          <w:bCs/>
        </w:rPr>
        <w:t>6. Issue and Public</w:t>
      </w:r>
      <w:r w:rsidR="00674A93">
        <w:rPr>
          <w:rFonts w:ascii="Arial" w:hAnsi="Arial" w:cs="Arial"/>
          <w:b/>
          <w:bCs/>
        </w:rPr>
        <w:t xml:space="preserve">ation of </w:t>
      </w:r>
      <w:r w:rsidRPr="005B3E2C">
        <w:rPr>
          <w:rFonts w:ascii="Arial" w:hAnsi="Arial" w:cs="Arial"/>
          <w:b/>
          <w:bCs/>
        </w:rPr>
        <w:t>Decision</w:t>
      </w:r>
      <w:r w:rsidRPr="005B3E2C">
        <w:rPr>
          <w:rFonts w:ascii="Arial" w:hAnsi="Arial" w:cs="Arial"/>
        </w:rPr>
        <w:br/>
      </w:r>
    </w:p>
    <w:p w14:paraId="3CD9B67D" w14:textId="77777777" w:rsidR="00A82F06" w:rsidRDefault="005B3E2C" w:rsidP="005B3E2C">
      <w:pPr>
        <w:rPr>
          <w:rFonts w:ascii="Arial" w:hAnsi="Arial" w:cs="Arial"/>
        </w:rPr>
      </w:pPr>
      <w:r w:rsidRPr="005B3E2C">
        <w:rPr>
          <w:rFonts w:ascii="Arial" w:hAnsi="Arial" w:cs="Arial"/>
        </w:rPr>
        <w:t xml:space="preserve">(a) </w:t>
      </w:r>
      <w:r w:rsidR="00674A93" w:rsidRPr="00674A93">
        <w:rPr>
          <w:rFonts w:ascii="Arial" w:hAnsi="Arial" w:cs="Arial"/>
        </w:rPr>
        <w:t>The Tribunal shall grant its final decision on the appeal within one hundred and twenty (120) days from when it holds the first hearing, which period may be extended only once by a further period of thirty (30) days in exceptional circumstances, in the interest of justice</w:t>
      </w:r>
      <w:r w:rsidR="00A82F06">
        <w:rPr>
          <w:rFonts w:ascii="Arial" w:hAnsi="Arial" w:cs="Arial"/>
        </w:rPr>
        <w:t>.</w:t>
      </w:r>
    </w:p>
    <w:p w14:paraId="65AFDD08" w14:textId="784D5F35" w:rsidR="005B3E2C" w:rsidRDefault="00A82F06" w:rsidP="005B3E2C">
      <w:pPr>
        <w:rPr>
          <w:rFonts w:ascii="Arial" w:hAnsi="Arial" w:cs="Arial"/>
        </w:rPr>
      </w:pPr>
      <w:r>
        <w:rPr>
          <w:rFonts w:ascii="Arial" w:hAnsi="Arial" w:cs="Arial"/>
        </w:rPr>
        <w:t xml:space="preserve">(b) </w:t>
      </w:r>
      <w:r w:rsidRPr="00A82F06">
        <w:rPr>
          <w:rFonts w:ascii="Arial" w:hAnsi="Arial" w:cs="Arial"/>
        </w:rPr>
        <w:t xml:space="preserve">The decisions of the Tribunal </w:t>
      </w:r>
      <w:proofErr w:type="gramStart"/>
      <w:r w:rsidRPr="00A82F06">
        <w:rPr>
          <w:rFonts w:ascii="Arial" w:hAnsi="Arial" w:cs="Arial"/>
        </w:rPr>
        <w:t>in regard to</w:t>
      </w:r>
      <w:proofErr w:type="gramEnd"/>
      <w:r w:rsidRPr="00A82F06">
        <w:rPr>
          <w:rFonts w:ascii="Arial" w:hAnsi="Arial" w:cs="Arial"/>
        </w:rPr>
        <w:t xml:space="preserve"> appeals submitted to it against any ruling, decision, order or direction issued by the Building &amp; Construction Authority shall be final except with respect to points of law, from which there shall lie the right to appeal to the Court </w:t>
      </w:r>
      <w:r w:rsidRPr="00A82F06">
        <w:rPr>
          <w:rFonts w:ascii="Arial" w:hAnsi="Arial" w:cs="Arial"/>
        </w:rPr>
        <w:lastRenderedPageBreak/>
        <w:t>of Appeal (Inferior Jurisdiction). Appeals to the Court of Appeal (Inferior Jurisdiction) from appeals decisions of the Tribunal shall be made by means of an application filed in the registry of that court, within twenty (20) days from the date on which that decision has been published according to law.</w:t>
      </w:r>
      <w:r w:rsidR="005B3E2C" w:rsidRPr="005B3E2C">
        <w:rPr>
          <w:rFonts w:ascii="Arial" w:hAnsi="Arial" w:cs="Arial"/>
        </w:rPr>
        <w:br/>
      </w:r>
    </w:p>
    <w:p w14:paraId="19F23C64" w14:textId="3AA44F98" w:rsidR="005B3E2C" w:rsidRDefault="005B3E2C" w:rsidP="005B3E2C">
      <w:pPr>
        <w:rPr>
          <w:rFonts w:ascii="Arial" w:hAnsi="Arial" w:cs="Arial"/>
        </w:rPr>
      </w:pPr>
      <w:r w:rsidRPr="005B3E2C">
        <w:rPr>
          <w:rFonts w:ascii="Arial" w:hAnsi="Arial" w:cs="Arial"/>
        </w:rPr>
        <w:t>(</w:t>
      </w:r>
      <w:r w:rsidR="003B1742">
        <w:rPr>
          <w:rFonts w:ascii="Arial" w:hAnsi="Arial" w:cs="Arial"/>
        </w:rPr>
        <w:t>c</w:t>
      </w:r>
      <w:r w:rsidRPr="005B3E2C">
        <w:rPr>
          <w:rFonts w:ascii="Arial" w:hAnsi="Arial" w:cs="Arial"/>
        </w:rPr>
        <w:t>) The decision shall be forwarded to the Office of the Prime Minister (OPM) for publication in the Government Gazette.</w:t>
      </w:r>
      <w:r w:rsidRPr="005B3E2C">
        <w:rPr>
          <w:rFonts w:ascii="Arial" w:hAnsi="Arial" w:cs="Arial"/>
        </w:rPr>
        <w:br/>
      </w:r>
    </w:p>
    <w:p w14:paraId="303661EC" w14:textId="069350D3" w:rsidR="005B3E2C" w:rsidRDefault="003B1742" w:rsidP="005B3E2C">
      <w:pPr>
        <w:rPr>
          <w:rFonts w:ascii="Arial" w:hAnsi="Arial" w:cs="Arial"/>
        </w:rPr>
      </w:pPr>
      <w:r>
        <w:rPr>
          <w:rFonts w:ascii="Arial" w:hAnsi="Arial" w:cs="Arial"/>
        </w:rPr>
        <w:t>(d</w:t>
      </w:r>
      <w:r w:rsidR="005B3E2C" w:rsidRPr="005B3E2C">
        <w:rPr>
          <w:rFonts w:ascii="Arial" w:hAnsi="Arial" w:cs="Arial"/>
        </w:rPr>
        <w:t>) The BC</w:t>
      </w:r>
      <w:r w:rsidR="00A82F06">
        <w:rPr>
          <w:rFonts w:ascii="Arial" w:hAnsi="Arial" w:cs="Arial"/>
        </w:rPr>
        <w:t>T</w:t>
      </w:r>
      <w:r w:rsidR="005B3E2C" w:rsidRPr="005B3E2C">
        <w:rPr>
          <w:rFonts w:ascii="Arial" w:hAnsi="Arial" w:cs="Arial"/>
        </w:rPr>
        <w:t xml:space="preserve"> shall publish the decision on their own platform.</w:t>
      </w:r>
    </w:p>
    <w:p w14:paraId="0C0A247B" w14:textId="77777777" w:rsidR="005B3E2C" w:rsidRPr="005B3E2C" w:rsidRDefault="005B3E2C" w:rsidP="005B3E2C">
      <w:pPr>
        <w:rPr>
          <w:rFonts w:ascii="Arial" w:hAnsi="Arial" w:cs="Arial"/>
        </w:rPr>
      </w:pPr>
    </w:p>
    <w:p w14:paraId="2A38F78C" w14:textId="77777777" w:rsidR="005B3E2C" w:rsidRPr="005B3E2C" w:rsidRDefault="005B3E2C">
      <w:pPr>
        <w:rPr>
          <w:rFonts w:ascii="Arial" w:hAnsi="Arial" w:cs="Arial"/>
        </w:rPr>
      </w:pPr>
    </w:p>
    <w:sectPr w:rsidR="005B3E2C" w:rsidRPr="005B3E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4BF4"/>
    <w:multiLevelType w:val="multilevel"/>
    <w:tmpl w:val="1F98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268A9"/>
    <w:multiLevelType w:val="hybridMultilevel"/>
    <w:tmpl w:val="27287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2D26E8"/>
    <w:multiLevelType w:val="multilevel"/>
    <w:tmpl w:val="B78E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A4417"/>
    <w:multiLevelType w:val="hybridMultilevel"/>
    <w:tmpl w:val="C6C06D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DA48DB"/>
    <w:multiLevelType w:val="hybridMultilevel"/>
    <w:tmpl w:val="702CD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62C5154"/>
    <w:multiLevelType w:val="hybridMultilevel"/>
    <w:tmpl w:val="295C2580"/>
    <w:lvl w:ilvl="0" w:tplc="C7E4E970">
      <w:start w:val="6"/>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197518">
    <w:abstractNumId w:val="0"/>
  </w:num>
  <w:num w:numId="2" w16cid:durableId="990523418">
    <w:abstractNumId w:val="2"/>
  </w:num>
  <w:num w:numId="3" w16cid:durableId="187261340">
    <w:abstractNumId w:val="3"/>
  </w:num>
  <w:num w:numId="4" w16cid:durableId="1629050939">
    <w:abstractNumId w:val="1"/>
  </w:num>
  <w:num w:numId="5" w16cid:durableId="1019241439">
    <w:abstractNumId w:val="4"/>
  </w:num>
  <w:num w:numId="6" w16cid:durableId="131866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2C"/>
    <w:rsid w:val="000326E1"/>
    <w:rsid w:val="000D349E"/>
    <w:rsid w:val="00112D0B"/>
    <w:rsid w:val="00164153"/>
    <w:rsid w:val="001F2260"/>
    <w:rsid w:val="00224B2C"/>
    <w:rsid w:val="002406A1"/>
    <w:rsid w:val="0033652C"/>
    <w:rsid w:val="00376BAA"/>
    <w:rsid w:val="003B1742"/>
    <w:rsid w:val="004F78E9"/>
    <w:rsid w:val="005365CC"/>
    <w:rsid w:val="0056599E"/>
    <w:rsid w:val="005B3E2C"/>
    <w:rsid w:val="005B7FEA"/>
    <w:rsid w:val="00674A93"/>
    <w:rsid w:val="0069033B"/>
    <w:rsid w:val="00737C0E"/>
    <w:rsid w:val="00740055"/>
    <w:rsid w:val="0077074D"/>
    <w:rsid w:val="007C6C07"/>
    <w:rsid w:val="007C702E"/>
    <w:rsid w:val="007E0ACC"/>
    <w:rsid w:val="00A82F06"/>
    <w:rsid w:val="00B31A5A"/>
    <w:rsid w:val="00C273CA"/>
    <w:rsid w:val="00C70EC7"/>
    <w:rsid w:val="00D61F4E"/>
    <w:rsid w:val="00FE39F4"/>
    <w:rsid w:val="00FF1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2A8AF"/>
  <w15:chartTrackingRefBased/>
  <w15:docId w15:val="{5F346833-7D55-477E-99E4-E95927DA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E2C"/>
    <w:rPr>
      <w:rFonts w:eastAsiaTheme="majorEastAsia" w:cstheme="majorBidi"/>
      <w:color w:val="272727" w:themeColor="text1" w:themeTint="D8"/>
    </w:rPr>
  </w:style>
  <w:style w:type="paragraph" w:styleId="Title">
    <w:name w:val="Title"/>
    <w:basedOn w:val="Normal"/>
    <w:next w:val="Normal"/>
    <w:link w:val="TitleChar"/>
    <w:uiPriority w:val="10"/>
    <w:qFormat/>
    <w:rsid w:val="005B3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E2C"/>
    <w:pPr>
      <w:spacing w:before="160"/>
      <w:jc w:val="center"/>
    </w:pPr>
    <w:rPr>
      <w:i/>
      <w:iCs/>
      <w:color w:val="404040" w:themeColor="text1" w:themeTint="BF"/>
    </w:rPr>
  </w:style>
  <w:style w:type="character" w:customStyle="1" w:styleId="QuoteChar">
    <w:name w:val="Quote Char"/>
    <w:basedOn w:val="DefaultParagraphFont"/>
    <w:link w:val="Quote"/>
    <w:uiPriority w:val="29"/>
    <w:rsid w:val="005B3E2C"/>
    <w:rPr>
      <w:i/>
      <w:iCs/>
      <w:color w:val="404040" w:themeColor="text1" w:themeTint="BF"/>
    </w:rPr>
  </w:style>
  <w:style w:type="paragraph" w:styleId="ListParagraph">
    <w:name w:val="List Paragraph"/>
    <w:basedOn w:val="Normal"/>
    <w:uiPriority w:val="34"/>
    <w:qFormat/>
    <w:rsid w:val="005B3E2C"/>
    <w:pPr>
      <w:ind w:left="720"/>
      <w:contextualSpacing/>
    </w:pPr>
  </w:style>
  <w:style w:type="character" w:styleId="IntenseEmphasis">
    <w:name w:val="Intense Emphasis"/>
    <w:basedOn w:val="DefaultParagraphFont"/>
    <w:uiPriority w:val="21"/>
    <w:qFormat/>
    <w:rsid w:val="005B3E2C"/>
    <w:rPr>
      <w:i/>
      <w:iCs/>
      <w:color w:val="0F4761" w:themeColor="accent1" w:themeShade="BF"/>
    </w:rPr>
  </w:style>
  <w:style w:type="paragraph" w:styleId="IntenseQuote">
    <w:name w:val="Intense Quote"/>
    <w:basedOn w:val="Normal"/>
    <w:next w:val="Normal"/>
    <w:link w:val="IntenseQuoteChar"/>
    <w:uiPriority w:val="30"/>
    <w:qFormat/>
    <w:rsid w:val="005B3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E2C"/>
    <w:rPr>
      <w:i/>
      <w:iCs/>
      <w:color w:val="0F4761" w:themeColor="accent1" w:themeShade="BF"/>
    </w:rPr>
  </w:style>
  <w:style w:type="character" w:styleId="IntenseReference">
    <w:name w:val="Intense Reference"/>
    <w:basedOn w:val="DefaultParagraphFont"/>
    <w:uiPriority w:val="32"/>
    <w:qFormat/>
    <w:rsid w:val="005B3E2C"/>
    <w:rPr>
      <w:b/>
      <w:bCs/>
      <w:smallCaps/>
      <w:color w:val="0F4761" w:themeColor="accent1" w:themeShade="BF"/>
      <w:spacing w:val="5"/>
    </w:rPr>
  </w:style>
  <w:style w:type="character" w:styleId="Hyperlink">
    <w:name w:val="Hyperlink"/>
    <w:basedOn w:val="DefaultParagraphFont"/>
    <w:uiPriority w:val="99"/>
    <w:unhideWhenUsed/>
    <w:rsid w:val="005B3E2C"/>
    <w:rPr>
      <w:color w:val="467886" w:themeColor="hyperlink"/>
      <w:u w:val="single"/>
    </w:rPr>
  </w:style>
  <w:style w:type="character" w:styleId="UnresolvedMention">
    <w:name w:val="Unresolved Mention"/>
    <w:basedOn w:val="DefaultParagraphFont"/>
    <w:uiPriority w:val="99"/>
    <w:semiHidden/>
    <w:unhideWhenUsed/>
    <w:rsid w:val="005B3E2C"/>
    <w:rPr>
      <w:color w:val="605E5C"/>
      <w:shd w:val="clear" w:color="auto" w:fill="E1DFDD"/>
    </w:rPr>
  </w:style>
  <w:style w:type="paragraph" w:styleId="Revision">
    <w:name w:val="Revision"/>
    <w:hidden/>
    <w:uiPriority w:val="99"/>
    <w:semiHidden/>
    <w:rsid w:val="005B3E2C"/>
    <w:pPr>
      <w:spacing w:after="0" w:line="240" w:lineRule="auto"/>
    </w:pPr>
  </w:style>
  <w:style w:type="character" w:styleId="CommentReference">
    <w:name w:val="annotation reference"/>
    <w:basedOn w:val="DefaultParagraphFont"/>
    <w:uiPriority w:val="99"/>
    <w:semiHidden/>
    <w:unhideWhenUsed/>
    <w:rsid w:val="004F78E9"/>
    <w:rPr>
      <w:sz w:val="16"/>
      <w:szCs w:val="16"/>
    </w:rPr>
  </w:style>
  <w:style w:type="paragraph" w:styleId="CommentText">
    <w:name w:val="annotation text"/>
    <w:basedOn w:val="Normal"/>
    <w:link w:val="CommentTextChar"/>
    <w:uiPriority w:val="99"/>
    <w:unhideWhenUsed/>
    <w:rsid w:val="004F78E9"/>
    <w:pPr>
      <w:spacing w:line="240" w:lineRule="auto"/>
    </w:pPr>
    <w:rPr>
      <w:sz w:val="20"/>
      <w:szCs w:val="20"/>
    </w:rPr>
  </w:style>
  <w:style w:type="character" w:customStyle="1" w:styleId="CommentTextChar">
    <w:name w:val="Comment Text Char"/>
    <w:basedOn w:val="DefaultParagraphFont"/>
    <w:link w:val="CommentText"/>
    <w:uiPriority w:val="99"/>
    <w:rsid w:val="004F78E9"/>
    <w:rPr>
      <w:sz w:val="20"/>
      <w:szCs w:val="20"/>
    </w:rPr>
  </w:style>
  <w:style w:type="paragraph" w:styleId="CommentSubject">
    <w:name w:val="annotation subject"/>
    <w:basedOn w:val="CommentText"/>
    <w:next w:val="CommentText"/>
    <w:link w:val="CommentSubjectChar"/>
    <w:uiPriority w:val="99"/>
    <w:semiHidden/>
    <w:unhideWhenUsed/>
    <w:rsid w:val="004F78E9"/>
    <w:rPr>
      <w:b/>
      <w:bCs/>
    </w:rPr>
  </w:style>
  <w:style w:type="character" w:customStyle="1" w:styleId="CommentSubjectChar">
    <w:name w:val="Comment Subject Char"/>
    <w:basedOn w:val="CommentTextChar"/>
    <w:link w:val="CommentSubject"/>
    <w:uiPriority w:val="99"/>
    <w:semiHidden/>
    <w:rsid w:val="004F78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259288">
      <w:bodyDiv w:val="1"/>
      <w:marLeft w:val="0"/>
      <w:marRight w:val="0"/>
      <w:marTop w:val="0"/>
      <w:marBottom w:val="0"/>
      <w:divBdr>
        <w:top w:val="none" w:sz="0" w:space="0" w:color="auto"/>
        <w:left w:val="none" w:sz="0" w:space="0" w:color="auto"/>
        <w:bottom w:val="none" w:sz="0" w:space="0" w:color="auto"/>
        <w:right w:val="none" w:sz="0" w:space="0" w:color="auto"/>
      </w:divBdr>
      <w:divsChild>
        <w:div w:id="568421294">
          <w:marLeft w:val="0"/>
          <w:marRight w:val="0"/>
          <w:marTop w:val="0"/>
          <w:marBottom w:val="0"/>
          <w:divBdr>
            <w:top w:val="none" w:sz="0" w:space="0" w:color="auto"/>
            <w:left w:val="none" w:sz="0" w:space="0" w:color="auto"/>
            <w:bottom w:val="none" w:sz="0" w:space="0" w:color="auto"/>
            <w:right w:val="none" w:sz="0" w:space="0" w:color="auto"/>
          </w:divBdr>
        </w:div>
      </w:divsChild>
    </w:div>
    <w:div w:id="1832402480">
      <w:bodyDiv w:val="1"/>
      <w:marLeft w:val="0"/>
      <w:marRight w:val="0"/>
      <w:marTop w:val="0"/>
      <w:marBottom w:val="0"/>
      <w:divBdr>
        <w:top w:val="none" w:sz="0" w:space="0" w:color="auto"/>
        <w:left w:val="none" w:sz="0" w:space="0" w:color="auto"/>
        <w:bottom w:val="none" w:sz="0" w:space="0" w:color="auto"/>
        <w:right w:val="none" w:sz="0" w:space="0" w:color="auto"/>
      </w:divBdr>
      <w:divsChild>
        <w:div w:id="1602764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peals@bct.org.mt" TargetMode="External"/><Relationship Id="rId5" Type="http://schemas.openxmlformats.org/officeDocument/2006/relationships/hyperlink" Target="mailto:appeals@bct.org.m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Fountain Patrick at MJR</dc:creator>
  <cp:keywords/>
  <dc:description/>
  <cp:lastModifiedBy>Haber Cheryl at MJR</cp:lastModifiedBy>
  <cp:revision>10</cp:revision>
  <dcterms:created xsi:type="dcterms:W3CDTF">2025-03-24T09:00:00Z</dcterms:created>
  <dcterms:modified xsi:type="dcterms:W3CDTF">2025-03-28T11:07:00Z</dcterms:modified>
</cp:coreProperties>
</file>