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D17AF" w:rsidRPr="003A58E1" w:rsidRDefault="007D17AF" w:rsidP="007D17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:rsidR="007D17AF" w:rsidRPr="003A58E1" w:rsidRDefault="007D17AF" w:rsidP="007D17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:rsidR="007D17AF" w:rsidRPr="003A58E1" w:rsidRDefault="007D17AF" w:rsidP="007D17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:rsidR="007D17AF" w:rsidRPr="00F9594A" w:rsidRDefault="007D17AF" w:rsidP="007D17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 xml:space="preserve">Illum </w:t>
      </w:r>
      <w:r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9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Lulju, </w:t>
      </w: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2024</w:t>
      </w:r>
    </w:p>
    <w:p w:rsidR="007D17AF" w:rsidRPr="005A3805" w:rsidRDefault="007D17AF" w:rsidP="007D17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:rsidR="007D17AF" w:rsidRPr="005A3805" w:rsidRDefault="007D17AF" w:rsidP="007D17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:rsidR="007D17AF" w:rsidRPr="00F9594A" w:rsidRDefault="007D17AF" w:rsidP="007D17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Rikors numru: BCT/</w:t>
      </w:r>
      <w:r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31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4</w:t>
      </w:r>
    </w:p>
    <w:p w:rsidR="007D17AF" w:rsidRPr="00F9594A" w:rsidRDefault="007D17AF" w:rsidP="007D17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7D17AF" w:rsidRPr="005A3805" w:rsidRDefault="007D17AF" w:rsidP="007D17AF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  <w:r w:rsidRPr="005A3805"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  <w:t xml:space="preserve">Membri: </w:t>
      </w:r>
    </w:p>
    <w:p w:rsidR="007D17AF" w:rsidRPr="005A3805" w:rsidRDefault="007D17AF" w:rsidP="007D17AF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</w:p>
    <w:p w:rsidR="007D17AF" w:rsidRDefault="007D17AF" w:rsidP="007D17AF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r w:rsidRPr="005A3805">
        <w:rPr>
          <w:rFonts w:ascii="Times New Roman" w:hAnsi="Times New Roman" w:cs="Times New Roman"/>
          <w:bCs/>
          <w:w w:val="105"/>
          <w:sz w:val="24"/>
          <w:szCs w:val="24"/>
          <w:u w:val="none"/>
          <w:lang w:val="pt-BR"/>
        </w:rPr>
        <w:t xml:space="preserve">Avukat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Serv.) M.Phil.</w:t>
      </w:r>
    </w:p>
    <w:p w:rsidR="007D17AF" w:rsidRPr="001D2A79" w:rsidRDefault="007D17AF" w:rsidP="007D17AF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Sersero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:rsidR="007D17AF" w:rsidRPr="001D2A79" w:rsidRDefault="007D17AF" w:rsidP="007D17AF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Ing. Anthony Camilleri B.Mech.Eng</w:t>
      </w:r>
      <w:r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:rsidR="007D17AF" w:rsidRDefault="007D17AF" w:rsidP="007D17A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7D17AF" w:rsidRPr="00F9594A" w:rsidRDefault="007D17AF" w:rsidP="007D17A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:rsidR="007D17AF" w:rsidRPr="00F9594A" w:rsidRDefault="007D17AF" w:rsidP="007D17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7D17AF" w:rsidRPr="00F9594A" w:rsidRDefault="007D17AF" w:rsidP="007D17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Clint Agius </w:t>
      </w:r>
    </w:p>
    <w:p w:rsidR="007D17AF" w:rsidRDefault="007D17AF" w:rsidP="007D17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7D17AF" w:rsidRPr="00F9594A" w:rsidRDefault="007D17AF" w:rsidP="007D17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:rsidR="007D17AF" w:rsidRPr="00F9594A" w:rsidRDefault="007D17AF" w:rsidP="007D17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7D17AF" w:rsidRPr="00F9594A" w:rsidRDefault="007D17AF" w:rsidP="007D17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:rsidR="007D17AF" w:rsidRPr="00F9594A" w:rsidRDefault="007D17AF" w:rsidP="007D17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7D17AF" w:rsidRPr="00F9594A" w:rsidRDefault="007D17AF" w:rsidP="007D17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:rsidR="007D17AF" w:rsidRPr="00F9594A" w:rsidRDefault="007D17AF" w:rsidP="007D17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7D17AF" w:rsidRPr="005A3805" w:rsidRDefault="007D17AF" w:rsidP="007D17AF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l-appell li sar permezz ta’ </w:t>
      </w:r>
      <w:r w:rsidRPr="005F4C0E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email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ta’ Clint Agius fejn l-appellanti ikkontesta d-decizjoni tal-Awtorita` intimata datata 28 t’April, 2024 li permezz taghha l-istess Awtorita` imponiet penali amministrattiva fl-ammont ta’ hames mitt euro (€500) in vista ta’ nuqqas da parti tal-istess appellant li jassigura li x-xogholijiet ta’ kostruzzjoni jaqghu taht id-disposizzjonijiet ta’ dawn ir-regolamenti ikunu assigurati b’mod adatt u adegwat fil-perijodu bejn it-28 ta’ Gunju, 2023 sal-10 ta’ Marzu, 2024 u dana skont regolament (6) subregolamenti (1) u (2) tal-Legislazzjoni Sussidjarja 623.06.  </w:t>
      </w:r>
    </w:p>
    <w:p w:rsidR="007D17AF" w:rsidRPr="00F9594A" w:rsidRDefault="007D17AF" w:rsidP="007D17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7D17AF" w:rsidRPr="00F9594A" w:rsidRDefault="007D17AF" w:rsidP="007D17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r-risposta tal-Awtorita’ appellata li permezz tagħha wieġbet u eċċepiet is-segwenti: </w:t>
      </w:r>
    </w:p>
    <w:p w:rsidR="007D17AF" w:rsidRPr="00F9594A" w:rsidRDefault="007D17AF" w:rsidP="007D17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7D17AF" w:rsidRPr="005A3805" w:rsidRDefault="007D17AF" w:rsidP="007D17A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l-Awtorità appellata qegħda umilment tissottometti li kwalunkwe deċiżjoni meħuda kienet in konformita’ 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dak rikjest mil-liġi, u kwindi korretta f’kull aspett;</w:t>
      </w:r>
    </w:p>
    <w:p w:rsidR="007D17AF" w:rsidRPr="005A3805" w:rsidRDefault="007D17AF" w:rsidP="007D17AF">
      <w:p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:rsidR="007D17AF" w:rsidRPr="005F4C0E" w:rsidRDefault="007D17AF" w:rsidP="007D17A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Illi, minghajr pregudizzju ghal dak sottomess preliminarjament,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il-ligi hija tassattiva u tali ndipendentement jekk kienx qieghed isehh zvilupp o moeno, tali kien sit ta’ kostruzzjoni liema jinnecessita polza tal-assigurazzjoni f’kull hin. </w:t>
      </w:r>
    </w:p>
    <w:p w:rsidR="007D17AF" w:rsidRPr="005F4C0E" w:rsidRDefault="007D17AF" w:rsidP="007D17AF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:rsidR="007D17AF" w:rsidRPr="003A58E1" w:rsidRDefault="007D17AF" w:rsidP="007D17A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</w:pPr>
      <w:r w:rsidRPr="005F4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Ghaldaqstant fuq dak suindikat, l-Awtorita` appellata qiegheda umilment titlob lil dan l-Onor. </w:t>
      </w: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Tribunal sabiex jichad l-appell odjern. </w:t>
      </w:r>
    </w:p>
    <w:p w:rsidR="007D17AF" w:rsidRDefault="007D17AF" w:rsidP="007D17AF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</w:pPr>
    </w:p>
    <w:p w:rsidR="007D17AF" w:rsidRPr="003A58E1" w:rsidRDefault="007D17AF" w:rsidP="007D17A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eccezzjonijiet ulterjuri. </w:t>
      </w:r>
    </w:p>
    <w:p w:rsidR="007D17AF" w:rsidRDefault="007D17AF" w:rsidP="007D17AF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7D17AF" w:rsidRPr="00F9594A" w:rsidRDefault="007D17AF" w:rsidP="007D17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7D17AF" w:rsidRPr="00F9594A" w:rsidRDefault="007D17AF" w:rsidP="007D17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kollha;</w:t>
      </w:r>
    </w:p>
    <w:p w:rsidR="007D17AF" w:rsidRPr="00F9594A" w:rsidRDefault="007D17AF" w:rsidP="007D17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7D17AF" w:rsidRDefault="007D17AF" w:rsidP="007D17A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Sema’ x-xhieda ta</w:t>
      </w:r>
      <w:r w:rsidR="00BF563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l-Perit Arielle Agius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waqt is-seduta ta</w:t>
      </w:r>
      <w:r w:rsidR="00BF5632">
        <w:rPr>
          <w:rFonts w:ascii="Times New Roman" w:hAnsi="Times New Roman" w:cs="Times New Roman"/>
          <w:sz w:val="24"/>
          <w:szCs w:val="24"/>
          <w:u w:val="none"/>
          <w:lang w:val="it-IT"/>
        </w:rPr>
        <w:t>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-</w:t>
      </w:r>
      <w:r w:rsidR="00BF5632">
        <w:rPr>
          <w:rFonts w:ascii="Times New Roman" w:hAnsi="Times New Roman" w:cs="Times New Roman"/>
          <w:sz w:val="24"/>
          <w:szCs w:val="24"/>
          <w:u w:val="none"/>
          <w:lang w:val="it-IT"/>
        </w:rPr>
        <w:t>18 ta’ Gunju, 2024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</w:p>
    <w:p w:rsidR="007D17AF" w:rsidRDefault="007D17AF" w:rsidP="007D17A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7D17AF" w:rsidRPr="00F9594A" w:rsidRDefault="007D17AF" w:rsidP="007D17A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d-deposizzjonijiet tax-xhieda kollha li tressqu quddiem it-Tribunal</w:t>
      </w:r>
      <w:r w:rsidR="000F64E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d-dokumenti ezebiti</w:t>
      </w: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:rsidR="007D17AF" w:rsidRDefault="007D17AF" w:rsidP="007D17A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7D17AF" w:rsidRDefault="007D17AF" w:rsidP="007D17A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l-verbali ta</w:t>
      </w:r>
      <w:r w:rsidR="00BF563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l-istess </w:t>
      </w: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sedut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 datata </w:t>
      </w:r>
      <w:r w:rsidR="00BF5632">
        <w:rPr>
          <w:rFonts w:ascii="Times New Roman" w:hAnsi="Times New Roman" w:cs="Times New Roman"/>
          <w:sz w:val="24"/>
          <w:szCs w:val="24"/>
          <w:u w:val="none"/>
          <w:lang w:val="it-IT"/>
        </w:rPr>
        <w:t>18 ta’ Gunju, 2024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fejn, fl-istess seduta gie dikjarat li l-partijiet m’ghandhomx aktar provi x’jipproducu u l-</w:t>
      </w:r>
      <w:r w:rsidR="00BF5632">
        <w:rPr>
          <w:rFonts w:ascii="Times New Roman" w:hAnsi="Times New Roman" w:cs="Times New Roman"/>
          <w:sz w:val="24"/>
          <w:szCs w:val="24"/>
          <w:u w:val="none"/>
          <w:lang w:val="it-IT"/>
        </w:rPr>
        <w:t>appell 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hall</w:t>
      </w:r>
      <w:r w:rsidR="00BF5632">
        <w:rPr>
          <w:rFonts w:ascii="Times New Roman" w:hAnsi="Times New Roman" w:cs="Times New Roman"/>
          <w:sz w:val="24"/>
          <w:szCs w:val="24"/>
          <w:u w:val="none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ghas-sentenza gha</w:t>
      </w:r>
      <w:r w:rsidR="00BF5632">
        <w:rPr>
          <w:rFonts w:ascii="Times New Roman" w:hAnsi="Times New Roman" w:cs="Times New Roman"/>
          <w:sz w:val="24"/>
          <w:szCs w:val="24"/>
          <w:u w:val="none"/>
          <w:lang w:val="it-IT"/>
        </w:rPr>
        <w:t>d-9 ta’ Lulju, 2024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:rsidR="007D17AF" w:rsidRDefault="007D17AF" w:rsidP="007D17A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7D17AF" w:rsidRPr="00F9594A" w:rsidRDefault="007D17AF" w:rsidP="007D17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Ikkunsidra</w:t>
      </w:r>
    </w:p>
    <w:p w:rsidR="007D17AF" w:rsidRPr="00F9594A" w:rsidRDefault="007D17AF" w:rsidP="007D17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7D17AF" w:rsidRDefault="007D17AF" w:rsidP="00E25B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permezz tal-appell tieghu, l-appellanti Clint Agius jikkontendi s-segwenti: “</w:t>
      </w:r>
      <w:r w:rsidRPr="00BF56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nixtieq naghmel enfazi li f’dan il-perijodu (bejn Lulju 2023 u Frar 2024) x-xogholijiet kienu weqfin kompletament. Tant hu hekk li fit-8 ta’ Marzu li ghadda applikajna sabiex jinhatar kuntrattur gdid halli jitkompla x-xoghol u ghaldaqstant l-polza tal-assikurazzjoni giet riattivata mid-data ‘il quddiem.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 Huwa car allura li l-appell huwa bazat interament fuq il-kawzali li</w:t>
      </w:r>
      <w:r w:rsid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, skont l-appellanti, waqt il-perijodu relattivament xogholijiet ma kenux qeghdin isehhu fiq is-sit u allura</w:t>
      </w:r>
      <w:r w:rsidR="000F64EC">
        <w:rPr>
          <w:rFonts w:ascii="Times New Roman" w:hAnsi="Times New Roman" w:cs="Times New Roman"/>
          <w:sz w:val="24"/>
          <w:szCs w:val="24"/>
          <w:u w:val="none"/>
          <w:lang w:val="it-IT"/>
        </w:rPr>
        <w:t>, skont huma,</w:t>
      </w:r>
      <w:r w:rsid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ma kienx hemm il-htiega ghal polza assikurattiva u ghas-sott</w:t>
      </w:r>
      <w:r w:rsidR="00BF5632">
        <w:rPr>
          <w:rFonts w:ascii="Times New Roman" w:hAnsi="Times New Roman" w:cs="Times New Roman"/>
          <w:sz w:val="24"/>
          <w:szCs w:val="24"/>
          <w:u w:val="none"/>
          <w:lang w:val="it-IT"/>
        </w:rPr>
        <w:t>o</w:t>
      </w:r>
      <w:r w:rsid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missjoni tad-dokumentazzjoni relattiva kif mehtieg mil-ligi. </w:t>
      </w:r>
    </w:p>
    <w:p w:rsidR="00E25BA8" w:rsidRDefault="00E25BA8" w:rsidP="00E25B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E25BA8" w:rsidRDefault="00E25BA8" w:rsidP="00E25B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Illi f’tali rigward ghandu jigi nutat li r-reg (6) (1) u (2) tal-Sl. 623.06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, citati mill-Awtorita` fid-decizjoni taghha,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kien jipprovdi kjarament is-segwenti:</w:t>
      </w:r>
    </w:p>
    <w:p w:rsidR="00E25BA8" w:rsidRPr="00E25BA8" w:rsidRDefault="00E25BA8" w:rsidP="00E25B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E25BA8" w:rsidRPr="00E25BA8" w:rsidRDefault="00E25BA8" w:rsidP="00E25BA8">
      <w:pPr>
        <w:numPr>
          <w:ilvl w:val="0"/>
          <w:numId w:val="2"/>
        </w:numPr>
        <w:spacing w:line="360" w:lineRule="auto"/>
        <w:ind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L-iżviluppatur għandu jiżgura li xogħlijiet tad-demolizzjoni, skavar jew kostruzzjoni li jaqgħu taħt id-dispożizzjonijiet ta’ dawn ir-regolamenti għandhom ikunu assigurati b’mod adatt u adegwat sabiex ikopru kull ħsara waħdanija jew rikorrenti kkaġunata lil proprjetà ta’ terzi persuni, diżabilità lil persuni jew mewt li tirriżulta mix-xogħolijiet jew attività ta’ kostruzzjoni mwettqa mill-iżviluppatur u l-kuntratturi li jkunu qegħdin jaħdmu fuq is-sit: </w:t>
      </w:r>
    </w:p>
    <w:p w:rsidR="00E25BA8" w:rsidRPr="00E25BA8" w:rsidRDefault="00E25BA8" w:rsidP="00E25BA8">
      <w:pPr>
        <w:spacing w:line="360" w:lineRule="auto"/>
        <w:ind w:left="999"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Iżda l-kopertura tal-assigurazzjoni m’għandhiex tkun inqas minn seba’ mija u ħamsin elf euro (€750,000) </w:t>
      </w:r>
      <w:r w:rsidRPr="00E25BA8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u għandha tibqa’ tiġi mġedda sa dak iż-żmien meta kull xogħol ta’ demolizzjoni, skavar jew kostruzzjoni jiġu ċertifikati bħala kompluti mill-perit tal-proġett</w:t>
      </w: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: </w:t>
      </w:r>
    </w:p>
    <w:p w:rsidR="00E25BA8" w:rsidRPr="00E25BA8" w:rsidRDefault="00E25BA8" w:rsidP="00E25BA8">
      <w:pPr>
        <w:spacing w:line="360" w:lineRule="auto"/>
        <w:ind w:left="999"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Iżda l-iżviluppatur għandu jagħmel stima xierqa u adegwata tar-riskji involuti u f’każ li l-valur imsemmi ta’ seba’ mija u ħamsin elf euro (€750,000) mhuwiex meqjus suffiċjenti, l-iżviluppatur għandu jassigura li tali kopertura tiżdied debitament. </w:t>
      </w:r>
    </w:p>
    <w:p w:rsidR="00E25BA8" w:rsidRPr="00E25BA8" w:rsidRDefault="00E25BA8" w:rsidP="00E25BA8">
      <w:pPr>
        <w:spacing w:line="360" w:lineRule="auto"/>
        <w:ind w:left="1134"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(2) L-iżviluppatur għandu jissottometti lid-Direttur kopja tal-kopertura ta’ assigurazzjoni, skont is-subregolament (1), flimkien ma’ ittra mill-assiguratur: </w:t>
      </w:r>
    </w:p>
    <w:p w:rsidR="00E25BA8" w:rsidRPr="00E25BA8" w:rsidRDefault="00E25BA8" w:rsidP="00E25BA8">
      <w:pPr>
        <w:spacing w:line="360" w:lineRule="auto"/>
        <w:ind w:left="1134"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(a) li tikkonferma li x-xogħlijiet huma adegwatament koperti minn polza tal-assigurazzjoni; u </w:t>
      </w:r>
    </w:p>
    <w:p w:rsidR="00E25BA8" w:rsidRPr="00E25BA8" w:rsidRDefault="00E25BA8" w:rsidP="00E25BA8">
      <w:pPr>
        <w:spacing w:line="360" w:lineRule="auto"/>
        <w:ind w:left="1134" w:right="521" w:hanging="6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(b) tiddikjara x’inhu l-valur tal-eċċess tal-polza tal-assigurazzjoni relattiva. Il-kopja tal-assigurazzjoni u d-dikjarazzjoni mill-assiguratur rigward il-kopertura tal-assigurazzjoni u l-ammont tal-eċċess għandhom jiġu sottomessi lid-Direttur mad-dikjarazzjoni tal-metodu.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(enfazi mizjuda)</w:t>
      </w:r>
    </w:p>
    <w:p w:rsidR="00E25BA8" w:rsidRPr="00E25BA8" w:rsidRDefault="00E25BA8" w:rsidP="00E25B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E25BA8" w:rsidRPr="00E25BA8" w:rsidRDefault="00E25BA8" w:rsidP="00E25B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Tali disposizzjonijiet illum jinsabu revokati permezz tal-AL 37 tal-2024 (li dahal fis-sehh fis-27 ta’ Frar, 2024) b’dana illi gew sostitwiti b’obbligi ta’ assikurazzjoni kif imfisser fl-AL 38 tal-2024. Madanakollu ghandu jigi nutat ukoll is-segwenti subregolamenti tal-istess Regolament (6) li ma gewx affetwati b’din l-emenda:</w:t>
      </w:r>
    </w:p>
    <w:p w:rsidR="00E25BA8" w:rsidRPr="00E25BA8" w:rsidRDefault="00E25BA8" w:rsidP="00E25B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E25BA8" w:rsidRPr="00E25BA8" w:rsidRDefault="00E25BA8" w:rsidP="00E25BA8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lastRenderedPageBreak/>
        <w:t xml:space="preserve">(6) Meta jitlesta l-proġett, l-iżviluppatur għandu fi żmien ġimgħatejn (2), jissottometti </w:t>
      </w:r>
      <w:r w:rsidRPr="00E25BA8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ċertifikazzjoni maħruġa mill-perit tal-proġett li x-xogħlijiet tlestew</w:t>
      </w: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. Għal fini ta’ dan is-subregolament it-tlestija ta’ proġett tfisser it-tlestija tax-xogħlijiet strutturali kollha u xogħlijiet oħra inklużi s-saqaf, kontrabejt, terrazzini u btieħi, l-għeluq ta’ aperturi u x-xogħlijiet oħra li jagħmlu l-bini ssiġġillat kontra d-dħul ta’ ilma. </w:t>
      </w:r>
    </w:p>
    <w:p w:rsidR="00E25BA8" w:rsidRPr="00E25BA8" w:rsidRDefault="00E25BA8" w:rsidP="00E25BA8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(7) Id-Direttur għandu, hekk kif jirċievi ċ-ċertifikazzjoni mill- perit tal-proġett, imsemmi fis-subregolament (6), minnufih iqiegħed fuq websajt li jippreskrivi d-Direttur, avviż li jindika d-data tan-notifikazzjoni tat-tlestija tal-proġett. Il-perit tal-proġett għandu wkoll fi żmien ġimgħatejn (2), jinnotifika lis-sidien u l-okkupant kollha ta’ dawk il-proprjetajiet, li għalihom kien ġie sottomess rapport dwar il-kondizzjoni mill-perit tal-iżviluppatur, bid-dettalji ta’ tali ċertifikazzjoni li tirrigwarda t-tlestija tal-proġett.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(enfazi mizjuda)</w:t>
      </w:r>
    </w:p>
    <w:p w:rsidR="00E25BA8" w:rsidRPr="00E25BA8" w:rsidRDefault="00E25BA8" w:rsidP="00E25B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E25BA8" w:rsidRPr="00E25BA8" w:rsidRDefault="00E25BA8" w:rsidP="00E25B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Jidher car li huwa c-certifikat tat-tlestija tax-xogholijiet mahrug mill-perit li jikkonferma  t-tlestija tax-xogholijiet u li allura jindika t-terminazzjoni tal-obbligu tal-assikurazzjoni, dana kif imfisser kemm taht ir-Reg 623.06 (qabel l-emenda tal-AL 37 tal-2024) u wkoll, illum permezz tal-AL 38 tal-2024 fejn terga ssir referenza ghall-istess certifikat ta’ tlestija tax-xogholijiet fir-Regolament (6) tal-AL 38 tal-2024. </w:t>
      </w:r>
    </w:p>
    <w:p w:rsidR="00E25BA8" w:rsidRPr="00E25BA8" w:rsidRDefault="00E25BA8" w:rsidP="00E25B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E25BA8" w:rsidRPr="00E25BA8" w:rsidRDefault="00E25BA8" w:rsidP="00E25B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Illi jirrizulta kjarament li l-intenzjoni tal-legizlatur kienet u ghadha proprju dik illi jorbot il-htiega tal-kopertura assigurat</w:t>
      </w:r>
      <w:r w:rsidR="000F64EC">
        <w:rPr>
          <w:rFonts w:ascii="Times New Roman" w:hAnsi="Times New Roman" w:cs="Times New Roman"/>
          <w:sz w:val="24"/>
          <w:szCs w:val="24"/>
          <w:u w:val="none"/>
          <w:lang w:val="it-IT"/>
        </w:rPr>
        <w:t>t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iva mac-certifikat ta’ tlestija tax-xogholijiet prezentat mill-perit (</w:t>
      </w: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completion certificate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) u allura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kull agir iehor, inkluz allura il-waqfien temporanju o meno tax-xogholijiet, kif allegat mill-appellanti,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ma jistax iservi bl-ebda mod sabiex igib fi tmiemu</w:t>
      </w:r>
      <w:r w:rsidR="000F64E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jew imqar jissospendi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l-obbligu legali ghall-hrug t’assikurazzjoni u z-zamma fis-sehh tal-istess, appuntu, sakemm ma jinharigx ukoll u jigi prezentat ic-certifikat ta’ tlestija mill-perit. </w:t>
      </w:r>
    </w:p>
    <w:p w:rsidR="00E25BA8" w:rsidRPr="00E25BA8" w:rsidRDefault="00E25BA8" w:rsidP="00E25B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BF5632" w:rsidRDefault="00E25BA8" w:rsidP="00BF56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Issa f’dan il-kaz jirrizulta inkontestat li </w:t>
      </w:r>
      <w:r w:rsidR="00BF5632">
        <w:rPr>
          <w:rFonts w:ascii="Times New Roman" w:hAnsi="Times New Roman" w:cs="Times New Roman"/>
          <w:sz w:val="24"/>
          <w:szCs w:val="24"/>
          <w:u w:val="none"/>
          <w:lang w:val="it-IT"/>
        </w:rPr>
        <w:t>mhux biss fiz-zmien relattiv ma kienx hemm kopertu</w:t>
      </w:r>
      <w:r w:rsidR="000F64EC">
        <w:rPr>
          <w:rFonts w:ascii="Times New Roman" w:hAnsi="Times New Roman" w:cs="Times New Roman"/>
          <w:sz w:val="24"/>
          <w:szCs w:val="24"/>
          <w:u w:val="none"/>
          <w:lang w:val="it-IT"/>
        </w:rPr>
        <w:t>ra</w:t>
      </w:r>
      <w:r w:rsidR="00BF563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assigurattiva imma wkoll li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c-certifikat ta’ tlestija tax-xogholijiet </w:t>
      </w:r>
      <w:r w:rsidR="00BF5632">
        <w:rPr>
          <w:rFonts w:ascii="Times New Roman" w:hAnsi="Times New Roman" w:cs="Times New Roman"/>
          <w:sz w:val="24"/>
          <w:szCs w:val="24"/>
          <w:u w:val="none"/>
          <w:lang w:val="it-IT"/>
        </w:rPr>
        <w:t>ghadu ma giex prezentat in vista ta’ xogholijiet li ghad irid isiru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 w:rsidR="00BF563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F’dan is-sens fil-fatt xehdet l-istess Perit Arielle Agius </w:t>
      </w:r>
    </w:p>
    <w:p w:rsidR="00BF5632" w:rsidRDefault="00BF5632" w:rsidP="00BF56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BF5632" w:rsidRPr="00BF5632" w:rsidRDefault="00BF5632" w:rsidP="00BF5632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BF56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Nikkonferma illi bejn il-perjodi indikati fl-avviż, polza ma kienx hemm. Madanakollu ngħid illi f’dan il-perjodu s-sit kien magħluq, kien hemm il-green nets u ħaddiema fuq il-post ma kienx hemm.</w:t>
      </w:r>
    </w:p>
    <w:p w:rsidR="00BF5632" w:rsidRPr="00BF5632" w:rsidRDefault="00BF5632" w:rsidP="00BF5632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BF56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lastRenderedPageBreak/>
        <w:t>Dan nista’ nikkonfermah jien bħala l-perit inkarigat.</w:t>
      </w:r>
    </w:p>
    <w:p w:rsidR="00BF5632" w:rsidRPr="00BF5632" w:rsidRDefault="00BF5632" w:rsidP="00BF5632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BF563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Fuq domanda tat-Tribunal ngħid illi l-Completion Notice, sal-lum għadu mhux preżentat peress illi għad hemm aperturi li jridu jitwaħħlu fuq is-sit. </w:t>
      </w:r>
    </w:p>
    <w:p w:rsidR="00BF5632" w:rsidRDefault="00BF5632" w:rsidP="00E25B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E25BA8" w:rsidRDefault="00BF5632" w:rsidP="00E25B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J</w:t>
      </w:r>
      <w:r w:rsidR="00E25BA8"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ikkonsegwi minn dan li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, legalment,</w:t>
      </w:r>
      <w:r w:rsidR="00E25BA8"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l-appellant kien tenut li jzomm fis-sehh koperatura assikurativa proprju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mill-bidu tax-xogholijiet</w:t>
      </w:r>
      <w:r w:rsidR="00E25BA8"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sa</w:t>
      </w:r>
      <w:r w:rsid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d-data ta</w:t>
      </w:r>
      <w:r w:rsidR="002B1F1C">
        <w:rPr>
          <w:rFonts w:ascii="Times New Roman" w:hAnsi="Times New Roman" w:cs="Times New Roman"/>
          <w:sz w:val="24"/>
          <w:szCs w:val="24"/>
          <w:u w:val="none"/>
          <w:lang w:val="it-IT"/>
        </w:rPr>
        <w:t>s-sottomissjoni ta’ tali certifikat ta’ tlestija ta’ xogholijiet</w:t>
      </w:r>
      <w:r w:rsid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, irrispettivament</w:t>
      </w:r>
      <w:r w:rsidR="002B1F1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mill-waqfien t</w:t>
      </w:r>
      <w:r w:rsidR="002720C0">
        <w:rPr>
          <w:rFonts w:ascii="Times New Roman" w:hAnsi="Times New Roman" w:cs="Times New Roman"/>
          <w:sz w:val="24"/>
          <w:szCs w:val="24"/>
          <w:u w:val="none"/>
          <w:lang w:val="it-IT"/>
        </w:rPr>
        <w:t>emporanju (o meno) t</w:t>
      </w:r>
      <w:r w:rsidR="002B1F1C">
        <w:rPr>
          <w:rFonts w:ascii="Times New Roman" w:hAnsi="Times New Roman" w:cs="Times New Roman"/>
          <w:sz w:val="24"/>
          <w:szCs w:val="24"/>
          <w:u w:val="none"/>
          <w:lang w:val="it-IT"/>
        </w:rPr>
        <w:t>ax-xoghol da parti tal-kuntrattur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inkluz allura anke </w:t>
      </w:r>
      <w:r w:rsidR="002720C0">
        <w:rPr>
          <w:rFonts w:ascii="Times New Roman" w:hAnsi="Times New Roman" w:cs="Times New Roman"/>
          <w:sz w:val="24"/>
          <w:szCs w:val="24"/>
          <w:u w:val="none"/>
          <w:lang w:val="it-IT"/>
        </w:rPr>
        <w:t>gha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z-zmien li fih is-sit kien allegatament maghluq ghax-xogholijiet</w:t>
      </w:r>
      <w:r w:rsidR="00E25BA8"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 w:rsidR="002B1F1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F’ghajnejn il-ligi huwa car li tali kopertura hija mehtiega b’mod kontinwu u ininterrott ghaz-zmien kollu </w:t>
      </w:r>
      <w:r w:rsidR="002720C0">
        <w:rPr>
          <w:rFonts w:ascii="Times New Roman" w:hAnsi="Times New Roman" w:cs="Times New Roman"/>
          <w:sz w:val="24"/>
          <w:szCs w:val="24"/>
          <w:u w:val="none"/>
          <w:lang w:val="it-IT"/>
        </w:rPr>
        <w:t>li jghaddi mid-data tal-</w:t>
      </w:r>
      <w:r w:rsidR="002720C0" w:rsidRPr="000F64E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clearance</w:t>
      </w:r>
      <w:r w:rsidR="002720C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sad-data tac-certifikat ta’ tlestija tax-xogholijiet, irrispettivament minn jekk xoghol huwiex qed isehh jew le fuq is-sit</w:t>
      </w:r>
      <w:r w:rsidR="003349A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b’tali mod allura li n-nuqqas ta’ xoghol effettiv fuq is-sit ma jistax iservi bhala difiza valida ghan-nuqqas riskontrat</w:t>
      </w:r>
      <w:r w:rsidR="002720C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:rsidR="000F64EC" w:rsidRDefault="000F64EC" w:rsidP="00E25B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E25BA8" w:rsidRPr="00E25BA8" w:rsidRDefault="00E25BA8" w:rsidP="00E25B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Decide</w:t>
      </w:r>
    </w:p>
    <w:p w:rsidR="00E25BA8" w:rsidRPr="00E25BA8" w:rsidRDefault="00E25BA8" w:rsidP="00E25B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E25BA8" w:rsidRPr="00E25BA8" w:rsidRDefault="00E25BA8" w:rsidP="00E25BA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Għaldaqstant it-Tribunal, in vista tar-raġunijiet imsemmija hawn fuq qiegħed jichad l-appell u kwindi jikkonferma d-decizjoni appellata datata </w:t>
      </w:r>
      <w:r w:rsidR="002B1F1C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28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t’ April, 2024. </w:t>
      </w:r>
    </w:p>
    <w:p w:rsidR="00E25BA8" w:rsidRPr="00F9594A" w:rsidRDefault="00E25BA8" w:rsidP="00E25BA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7D17AF" w:rsidRDefault="007D17AF" w:rsidP="007D17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7D17AF" w:rsidRDefault="007D17AF" w:rsidP="007D17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7D17AF" w:rsidRDefault="007D17AF" w:rsidP="007D17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7D17AF" w:rsidRPr="00F9594A" w:rsidRDefault="007D17AF" w:rsidP="007D17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7D17AF" w:rsidRPr="00F9594A" w:rsidRDefault="007D17AF" w:rsidP="007D17AF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Sersero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:rsidR="007D17AF" w:rsidRPr="00F9594A" w:rsidRDefault="007D17AF" w:rsidP="007D17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>Membru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 xml:space="preserve">Membru </w:t>
      </w:r>
    </w:p>
    <w:p w:rsidR="007D17AF" w:rsidRDefault="007D17AF" w:rsidP="007D17AF"/>
    <w:p w:rsidR="00E72E4C" w:rsidRDefault="00E72E4C"/>
    <w:sectPr w:rsidR="00E72E4C" w:rsidSect="007D1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9B22DC"/>
    <w:multiLevelType w:val="hybridMultilevel"/>
    <w:tmpl w:val="D0C0ED2C"/>
    <w:lvl w:ilvl="0" w:tplc="0BBA5FF0">
      <w:start w:val="1"/>
      <w:numFmt w:val="decimal"/>
      <w:lvlText w:val="(%1)"/>
      <w:lvlJc w:val="left"/>
      <w:pPr>
        <w:ind w:left="999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694760">
    <w:abstractNumId w:val="0"/>
  </w:num>
  <w:num w:numId="2" w16cid:durableId="192591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AF"/>
    <w:rsid w:val="000F64EC"/>
    <w:rsid w:val="001256E5"/>
    <w:rsid w:val="00167462"/>
    <w:rsid w:val="002720C0"/>
    <w:rsid w:val="002B1F1C"/>
    <w:rsid w:val="003349A1"/>
    <w:rsid w:val="007D17AF"/>
    <w:rsid w:val="008C54DC"/>
    <w:rsid w:val="009B7BCA"/>
    <w:rsid w:val="00BF5632"/>
    <w:rsid w:val="00E25BA8"/>
    <w:rsid w:val="00E72E4C"/>
    <w:rsid w:val="00E7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C20B"/>
  <w15:chartTrackingRefBased/>
  <w15:docId w15:val="{4BC5EA0B-A2C3-49D4-B009-D7DBEA1E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7AF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4</cp:revision>
  <dcterms:created xsi:type="dcterms:W3CDTF">2024-07-06T12:06:00Z</dcterms:created>
  <dcterms:modified xsi:type="dcterms:W3CDTF">2024-07-08T13:11:00Z</dcterms:modified>
</cp:coreProperties>
</file>