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419C"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pt-BR"/>
          <w14:ligatures w14:val="none"/>
        </w:rPr>
      </w:pPr>
      <w:r w:rsidRPr="00CA335E">
        <w:rPr>
          <w:rFonts w:ascii="Times New Roman" w:eastAsiaTheme="minorEastAsia" w:hAnsi="Times New Roman" w:cs="Times New Roman"/>
          <w:b/>
          <w:kern w:val="0"/>
          <w:sz w:val="24"/>
          <w:szCs w:val="24"/>
          <w:lang w:val="pt-BR"/>
          <w14:ligatures w14:val="none"/>
        </w:rPr>
        <w:t>IT-TRIBUNAL TAL-BINI U L-KOSTRUZZJONI</w:t>
      </w:r>
    </w:p>
    <w:p w14:paraId="4D89E00D"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pt-BR"/>
          <w14:ligatures w14:val="none"/>
        </w:rPr>
      </w:pPr>
    </w:p>
    <w:p w14:paraId="3D653F98"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pt-BR"/>
          <w14:ligatures w14:val="none"/>
        </w:rPr>
        <w:t xml:space="preserve">Illum </w:t>
      </w:r>
      <w:r>
        <w:rPr>
          <w:rFonts w:ascii="Times New Roman" w:eastAsiaTheme="minorEastAsia" w:hAnsi="Times New Roman" w:cs="Times New Roman"/>
          <w:b/>
          <w:kern w:val="0"/>
          <w:sz w:val="24"/>
          <w:szCs w:val="24"/>
          <w:lang w:val="pt-BR"/>
          <w14:ligatures w14:val="none"/>
        </w:rPr>
        <w:t>2</w:t>
      </w:r>
      <w:r w:rsidRPr="00CA335E">
        <w:rPr>
          <w:rFonts w:ascii="Times New Roman" w:eastAsiaTheme="minorEastAsia" w:hAnsi="Times New Roman" w:cs="Times New Roman"/>
          <w:b/>
          <w:kern w:val="0"/>
          <w:sz w:val="24"/>
          <w:szCs w:val="24"/>
          <w:lang w:val="pt-BR"/>
          <w14:ligatures w14:val="none"/>
        </w:rPr>
        <w:t>6</w:t>
      </w:r>
      <w:r w:rsidRPr="00CA335E">
        <w:rPr>
          <w:rFonts w:ascii="Times New Roman" w:eastAsiaTheme="minorEastAsia" w:hAnsi="Times New Roman" w:cs="Times New Roman"/>
          <w:b/>
          <w:kern w:val="0"/>
          <w:sz w:val="24"/>
          <w:szCs w:val="24"/>
          <w:lang w:val="mt-MT"/>
          <w14:ligatures w14:val="none"/>
        </w:rPr>
        <w:t xml:space="preserve"> ta’ </w:t>
      </w:r>
      <w:r>
        <w:rPr>
          <w:rFonts w:ascii="Times New Roman" w:eastAsiaTheme="minorEastAsia" w:hAnsi="Times New Roman" w:cs="Times New Roman"/>
          <w:b/>
          <w:kern w:val="0"/>
          <w:sz w:val="24"/>
          <w:szCs w:val="24"/>
          <w:lang w:val="mt-MT"/>
          <w14:ligatures w14:val="none"/>
        </w:rPr>
        <w:t xml:space="preserve">Marzu, </w:t>
      </w:r>
      <w:r w:rsidRPr="00CA335E">
        <w:rPr>
          <w:rFonts w:ascii="Times New Roman" w:eastAsiaTheme="minorEastAsia" w:hAnsi="Times New Roman" w:cs="Times New Roman"/>
          <w:b/>
          <w:kern w:val="0"/>
          <w:sz w:val="24"/>
          <w:szCs w:val="24"/>
          <w:lang w:val="pt-BR"/>
          <w14:ligatures w14:val="none"/>
        </w:rPr>
        <w:t>202</w:t>
      </w:r>
      <w:r>
        <w:rPr>
          <w:rFonts w:ascii="Times New Roman" w:eastAsiaTheme="minorEastAsia" w:hAnsi="Times New Roman" w:cs="Times New Roman"/>
          <w:b/>
          <w:kern w:val="0"/>
          <w:sz w:val="24"/>
          <w:szCs w:val="24"/>
          <w:lang w:val="pt-BR"/>
          <w14:ligatures w14:val="none"/>
        </w:rPr>
        <w:t>5</w:t>
      </w:r>
    </w:p>
    <w:p w14:paraId="70458122"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pt-BR"/>
          <w14:ligatures w14:val="none"/>
        </w:rPr>
      </w:pPr>
    </w:p>
    <w:p w14:paraId="3577EA2A"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pt-BR"/>
          <w14:ligatures w14:val="none"/>
        </w:rPr>
        <w:t>Rikors numru: BCT/</w:t>
      </w:r>
      <w:r>
        <w:rPr>
          <w:rFonts w:ascii="Times New Roman" w:eastAsiaTheme="minorEastAsia" w:hAnsi="Times New Roman" w:cs="Times New Roman"/>
          <w:b/>
          <w:kern w:val="0"/>
          <w:sz w:val="24"/>
          <w:szCs w:val="24"/>
          <w:lang w:val="pt-BR"/>
          <w14:ligatures w14:val="none"/>
        </w:rPr>
        <w:t>14</w:t>
      </w:r>
      <w:r w:rsidRPr="00CA335E">
        <w:rPr>
          <w:rFonts w:ascii="Times New Roman" w:eastAsiaTheme="minorEastAsia" w:hAnsi="Times New Roman" w:cs="Times New Roman"/>
          <w:b/>
          <w:kern w:val="0"/>
          <w:sz w:val="24"/>
          <w:szCs w:val="24"/>
          <w:lang w:val="mt-MT"/>
          <w14:ligatures w14:val="none"/>
        </w:rPr>
        <w:t>/202</w:t>
      </w:r>
      <w:r>
        <w:rPr>
          <w:rFonts w:ascii="Times New Roman" w:eastAsiaTheme="minorEastAsia" w:hAnsi="Times New Roman" w:cs="Times New Roman"/>
          <w:b/>
          <w:kern w:val="0"/>
          <w:sz w:val="24"/>
          <w:szCs w:val="24"/>
          <w:lang w:val="mt-MT"/>
          <w14:ligatures w14:val="none"/>
        </w:rPr>
        <w:t>5</w:t>
      </w:r>
    </w:p>
    <w:p w14:paraId="545F2DFD"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p>
    <w:p w14:paraId="62742FDB" w14:textId="77777777" w:rsidR="00CA335E" w:rsidRPr="00CA335E" w:rsidRDefault="00CA335E" w:rsidP="00CA335E">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r w:rsidRPr="00CA335E">
        <w:rPr>
          <w:rFonts w:ascii="Times New Roman" w:eastAsiaTheme="minorEastAsia" w:hAnsi="Times New Roman" w:cs="Times New Roman"/>
          <w:b/>
          <w:w w:val="105"/>
          <w:kern w:val="0"/>
          <w:sz w:val="24"/>
          <w:szCs w:val="24"/>
          <w:lang w:val="pt-BR"/>
          <w14:ligatures w14:val="none"/>
        </w:rPr>
        <w:t xml:space="preserve">Membri: </w:t>
      </w:r>
    </w:p>
    <w:p w14:paraId="1E5CC272" w14:textId="77777777" w:rsidR="00CA335E" w:rsidRPr="00CA335E" w:rsidRDefault="00CA335E" w:rsidP="00CA335E">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p>
    <w:p w14:paraId="679C59BE" w14:textId="77777777" w:rsidR="00CA335E" w:rsidRPr="00CA335E" w:rsidRDefault="00CA335E" w:rsidP="00CA335E">
      <w:pPr>
        <w:tabs>
          <w:tab w:val="left" w:pos="2550"/>
        </w:tabs>
        <w:spacing w:after="0" w:line="360" w:lineRule="auto"/>
        <w:ind w:right="95"/>
        <w:jc w:val="both"/>
        <w:rPr>
          <w:rFonts w:ascii="Times New Roman" w:eastAsiaTheme="minorEastAsia" w:hAnsi="Times New Roman" w:cs="Times New Roman"/>
          <w:bCs/>
          <w:w w:val="105"/>
          <w:kern w:val="0"/>
          <w:sz w:val="24"/>
          <w:szCs w:val="24"/>
          <w:lang w:val="en-US"/>
          <w14:ligatures w14:val="none"/>
        </w:rPr>
      </w:pPr>
      <w:r w:rsidRPr="00CA335E">
        <w:rPr>
          <w:rFonts w:ascii="Times New Roman" w:eastAsiaTheme="minorEastAsia" w:hAnsi="Times New Roman" w:cs="Times New Roman"/>
          <w:bCs/>
          <w:w w:val="105"/>
          <w:kern w:val="0"/>
          <w:sz w:val="24"/>
          <w:szCs w:val="24"/>
          <w:lang w:val="pt-BR"/>
          <w14:ligatures w14:val="none"/>
        </w:rPr>
        <w:t xml:space="preserve">Avukat Philip M. Magri LL.D. M.A. (Fin. </w:t>
      </w:r>
      <w:r w:rsidRPr="00CA335E">
        <w:rPr>
          <w:rFonts w:ascii="Times New Roman" w:eastAsiaTheme="minorEastAsia" w:hAnsi="Times New Roman" w:cs="Times New Roman"/>
          <w:bCs/>
          <w:w w:val="105"/>
          <w:kern w:val="0"/>
          <w:sz w:val="24"/>
          <w:szCs w:val="24"/>
          <w:lang w:val="en-US"/>
          <w14:ligatures w14:val="none"/>
        </w:rPr>
        <w:t>Serv.) M.Phil.</w:t>
      </w:r>
    </w:p>
    <w:p w14:paraId="742BAF0D" w14:textId="77777777" w:rsidR="00CA335E" w:rsidRPr="00CA335E" w:rsidRDefault="00CA335E" w:rsidP="00CA335E">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CA335E">
        <w:rPr>
          <w:rFonts w:ascii="Times New Roman" w:eastAsiaTheme="minorEastAsia" w:hAnsi="Times New Roman" w:cs="Times New Roman"/>
          <w:bCs/>
          <w:w w:val="105"/>
          <w:kern w:val="0"/>
          <w:sz w:val="24"/>
          <w:szCs w:val="24"/>
          <w14:ligatures w14:val="none"/>
        </w:rPr>
        <w:t xml:space="preserve">Perit Robert </w:t>
      </w:r>
      <w:proofErr w:type="spellStart"/>
      <w:r w:rsidRPr="00CA335E">
        <w:rPr>
          <w:rFonts w:ascii="Times New Roman" w:eastAsiaTheme="minorEastAsia" w:hAnsi="Times New Roman" w:cs="Times New Roman"/>
          <w:bCs/>
          <w:w w:val="105"/>
          <w:kern w:val="0"/>
          <w:sz w:val="24"/>
          <w:szCs w:val="24"/>
          <w14:ligatures w14:val="none"/>
        </w:rPr>
        <w:t>Sersero</w:t>
      </w:r>
      <w:proofErr w:type="spellEnd"/>
      <w:r w:rsidRPr="00CA335E">
        <w:rPr>
          <w:rFonts w:ascii="Times New Roman" w:eastAsiaTheme="minorEastAsia" w:hAnsi="Times New Roman" w:cs="Times New Roman"/>
          <w:bCs/>
          <w:w w:val="105"/>
          <w:kern w:val="0"/>
          <w:sz w:val="24"/>
          <w:szCs w:val="24"/>
          <w14:ligatures w14:val="none"/>
        </w:rPr>
        <w:t xml:space="preserve"> </w:t>
      </w:r>
      <w:r w:rsidRPr="00CA335E">
        <w:rPr>
          <w:rFonts w:ascii="Times New Roman" w:eastAsiaTheme="minorEastAsia" w:hAnsi="Times New Roman" w:cs="Times New Roman"/>
          <w:bCs/>
          <w:w w:val="105"/>
          <w:kern w:val="0"/>
          <w:sz w:val="24"/>
          <w:szCs w:val="24"/>
          <w:lang w:val="en-US"/>
          <w14:ligatures w14:val="none"/>
        </w:rPr>
        <w:t>BE&amp;A(Hons), A&amp;CE</w:t>
      </w:r>
    </w:p>
    <w:p w14:paraId="4AE78E8B" w14:textId="77777777" w:rsidR="00CA335E" w:rsidRPr="00CA335E" w:rsidRDefault="00CA335E" w:rsidP="00CA335E">
      <w:pPr>
        <w:tabs>
          <w:tab w:val="left" w:pos="2550"/>
        </w:tabs>
        <w:spacing w:after="0" w:line="240" w:lineRule="auto"/>
        <w:ind w:right="95"/>
        <w:jc w:val="both"/>
        <w:rPr>
          <w:rFonts w:ascii="Times New Roman" w:eastAsiaTheme="minorEastAsia" w:hAnsi="Times New Roman" w:cs="Times New Roman"/>
          <w:bCs/>
          <w:w w:val="105"/>
          <w:kern w:val="0"/>
          <w:sz w:val="24"/>
          <w:szCs w:val="24"/>
          <w14:ligatures w14:val="none"/>
        </w:rPr>
      </w:pPr>
      <w:r w:rsidRPr="00CA335E">
        <w:rPr>
          <w:rFonts w:ascii="Times New Roman" w:eastAsiaTheme="minorEastAsia" w:hAnsi="Times New Roman" w:cs="Times New Roman"/>
          <w:bCs/>
          <w:w w:val="105"/>
          <w:kern w:val="0"/>
          <w:sz w:val="24"/>
          <w:szCs w:val="24"/>
          <w14:ligatures w14:val="none"/>
        </w:rPr>
        <w:t xml:space="preserve">Ing. Anthony Camilleri </w:t>
      </w:r>
      <w:proofErr w:type="spellStart"/>
      <w:proofErr w:type="gramStart"/>
      <w:r w:rsidRPr="00CA335E">
        <w:rPr>
          <w:rFonts w:ascii="Times New Roman" w:eastAsiaTheme="minorEastAsia" w:hAnsi="Times New Roman" w:cs="Times New Roman"/>
          <w:bCs/>
          <w:w w:val="105"/>
          <w:kern w:val="0"/>
          <w:sz w:val="24"/>
          <w:szCs w:val="24"/>
          <w14:ligatures w14:val="none"/>
        </w:rPr>
        <w:t>B.Mech.Eng</w:t>
      </w:r>
      <w:proofErr w:type="spellEnd"/>
      <w:proofErr w:type="gramEnd"/>
      <w:r w:rsidRPr="00CA335E">
        <w:rPr>
          <w:rFonts w:ascii="Times New Roman" w:eastAsiaTheme="minorEastAsia" w:hAnsi="Times New Roman" w:cs="Times New Roman"/>
          <w:bCs/>
          <w:w w:val="105"/>
          <w:kern w:val="0"/>
          <w:sz w:val="24"/>
          <w:szCs w:val="24"/>
          <w14:ligatures w14:val="none"/>
        </w:rPr>
        <w:t xml:space="preserve"> (Hons), FVCM (Hons) L. (Mus.) V.C.M. (Hons.), A. (Mus.) L.S.M.</w:t>
      </w:r>
    </w:p>
    <w:p w14:paraId="3054380C" w14:textId="77777777" w:rsidR="00CA335E" w:rsidRPr="00CA335E" w:rsidRDefault="00CA335E" w:rsidP="00CA335E">
      <w:pPr>
        <w:spacing w:after="0" w:line="360" w:lineRule="auto"/>
        <w:rPr>
          <w:rFonts w:ascii="Times New Roman" w:eastAsiaTheme="minorEastAsia" w:hAnsi="Times New Roman" w:cs="Times New Roman"/>
          <w:b/>
          <w:kern w:val="0"/>
          <w:sz w:val="24"/>
          <w:szCs w:val="24"/>
          <w:lang w:val="mt-MT"/>
          <w14:ligatures w14:val="none"/>
        </w:rPr>
      </w:pPr>
    </w:p>
    <w:p w14:paraId="29F6FE20" w14:textId="77777777" w:rsidR="00CA335E" w:rsidRPr="00CA335E" w:rsidRDefault="00CA335E" w:rsidP="00CA335E">
      <w:pPr>
        <w:spacing w:after="0" w:line="360" w:lineRule="auto"/>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mt-MT"/>
          <w14:ligatures w14:val="none"/>
        </w:rPr>
        <w:t>___________________________________________________________________________</w:t>
      </w:r>
    </w:p>
    <w:p w14:paraId="037FDC55"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p>
    <w:p w14:paraId="5B346006"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r>
        <w:rPr>
          <w:rFonts w:ascii="Times New Roman" w:eastAsiaTheme="minorEastAsia" w:hAnsi="Times New Roman" w:cs="Times New Roman"/>
          <w:b/>
          <w:kern w:val="0"/>
          <w:sz w:val="24"/>
          <w:szCs w:val="24"/>
          <w:lang w:val="mt-MT"/>
          <w14:ligatures w14:val="none"/>
        </w:rPr>
        <w:t>Nazzarenu Camilleri</w:t>
      </w:r>
    </w:p>
    <w:p w14:paraId="0354BA66"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p>
    <w:p w14:paraId="647F83F7"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mt-MT"/>
          <w14:ligatures w14:val="none"/>
        </w:rPr>
        <w:t>vs</w:t>
      </w:r>
    </w:p>
    <w:p w14:paraId="0AF67B52"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p>
    <w:p w14:paraId="2CE5A213" w14:textId="77777777" w:rsidR="00CA335E" w:rsidRPr="00CA335E" w:rsidRDefault="00CA335E" w:rsidP="00CA335E">
      <w:pPr>
        <w:spacing w:after="0" w:line="360" w:lineRule="auto"/>
        <w:jc w:val="center"/>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mt-MT"/>
          <w14:ligatures w14:val="none"/>
        </w:rPr>
        <w:t>Awtorita’ tal-Bini u l-Kostruzzjoni</w:t>
      </w:r>
    </w:p>
    <w:p w14:paraId="00878FF8"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p>
    <w:p w14:paraId="6BAAC122"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mt-MT"/>
          <w14:ligatures w14:val="none"/>
        </w:rPr>
        <w:t>It-Tribunal,</w:t>
      </w:r>
    </w:p>
    <w:p w14:paraId="10C01D5B"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p>
    <w:p w14:paraId="3532EF92"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r w:rsidRPr="00CA335E">
        <w:rPr>
          <w:rFonts w:ascii="Times New Roman" w:eastAsiaTheme="minorEastAsia" w:hAnsi="Times New Roman" w:cs="Times New Roman"/>
          <w:bCs/>
          <w:kern w:val="0"/>
          <w:sz w:val="24"/>
          <w:szCs w:val="24"/>
          <w:lang w:val="mt-MT"/>
          <w14:ligatures w14:val="none"/>
        </w:rPr>
        <w:t xml:space="preserve">Ra l-appell li sar permezz ta’ </w:t>
      </w:r>
      <w:r w:rsidRPr="00CA335E">
        <w:rPr>
          <w:rFonts w:ascii="Times New Roman" w:eastAsiaTheme="minorEastAsia" w:hAnsi="Times New Roman" w:cs="Times New Roman"/>
          <w:bCs/>
          <w:i/>
          <w:iCs/>
          <w:kern w:val="0"/>
          <w:sz w:val="24"/>
          <w:szCs w:val="24"/>
          <w:lang w:val="mt-MT"/>
          <w14:ligatures w14:val="none"/>
        </w:rPr>
        <w:t>email</w:t>
      </w:r>
      <w:r w:rsidRPr="00CA335E">
        <w:rPr>
          <w:rFonts w:ascii="Times New Roman" w:eastAsiaTheme="minorEastAsia" w:hAnsi="Times New Roman" w:cs="Times New Roman"/>
          <w:bCs/>
          <w:kern w:val="0"/>
          <w:sz w:val="24"/>
          <w:szCs w:val="24"/>
          <w:lang w:val="mt-MT"/>
          <w14:ligatures w14:val="none"/>
        </w:rPr>
        <w:t xml:space="preserve"> datata 2</w:t>
      </w:r>
      <w:r>
        <w:rPr>
          <w:rFonts w:ascii="Times New Roman" w:eastAsiaTheme="minorEastAsia" w:hAnsi="Times New Roman" w:cs="Times New Roman"/>
          <w:bCs/>
          <w:kern w:val="0"/>
          <w:sz w:val="24"/>
          <w:szCs w:val="24"/>
          <w:lang w:val="mt-MT"/>
          <w14:ligatures w14:val="none"/>
        </w:rPr>
        <w:t>9 ta’ Jannar, 2025</w:t>
      </w:r>
      <w:r w:rsidRPr="00CA335E">
        <w:rPr>
          <w:rFonts w:ascii="Times New Roman" w:eastAsiaTheme="minorEastAsia" w:hAnsi="Times New Roman" w:cs="Times New Roman"/>
          <w:bCs/>
          <w:kern w:val="0"/>
          <w:sz w:val="24"/>
          <w:szCs w:val="24"/>
          <w:lang w:val="mt-MT"/>
          <w14:ligatures w14:val="none"/>
        </w:rPr>
        <w:t xml:space="preserve"> tal-</w:t>
      </w:r>
      <w:r>
        <w:rPr>
          <w:rFonts w:ascii="Times New Roman" w:eastAsiaTheme="minorEastAsia" w:hAnsi="Times New Roman" w:cs="Times New Roman"/>
          <w:bCs/>
          <w:kern w:val="0"/>
          <w:sz w:val="24"/>
          <w:szCs w:val="24"/>
          <w:lang w:val="mt-MT"/>
          <w14:ligatures w14:val="none"/>
        </w:rPr>
        <w:t>istess appellanti fejn dan</w:t>
      </w:r>
      <w:r w:rsidRPr="00CA335E">
        <w:rPr>
          <w:rFonts w:ascii="Times New Roman" w:eastAsiaTheme="minorEastAsia" w:hAnsi="Times New Roman" w:cs="Times New Roman"/>
          <w:bCs/>
          <w:kern w:val="0"/>
          <w:sz w:val="24"/>
          <w:szCs w:val="24"/>
          <w:lang w:val="mt-MT"/>
          <w14:ligatures w14:val="none"/>
        </w:rPr>
        <w:t xml:space="preserve"> ikkontesta d-decizjoni tal-Awtorita` intimata datata </w:t>
      </w:r>
      <w:r>
        <w:rPr>
          <w:rFonts w:ascii="Times New Roman" w:eastAsiaTheme="minorEastAsia" w:hAnsi="Times New Roman" w:cs="Times New Roman"/>
          <w:bCs/>
          <w:kern w:val="0"/>
          <w:sz w:val="24"/>
          <w:szCs w:val="24"/>
          <w:lang w:val="mt-MT"/>
          <w14:ligatures w14:val="none"/>
        </w:rPr>
        <w:t>21</w:t>
      </w:r>
      <w:r w:rsidRPr="00CA335E">
        <w:rPr>
          <w:rFonts w:ascii="Times New Roman" w:eastAsiaTheme="minorEastAsia" w:hAnsi="Times New Roman" w:cs="Times New Roman"/>
          <w:bCs/>
          <w:kern w:val="0"/>
          <w:sz w:val="24"/>
          <w:szCs w:val="24"/>
          <w:lang w:val="mt-MT"/>
          <w14:ligatures w14:val="none"/>
        </w:rPr>
        <w:t xml:space="preserve"> ta’ </w:t>
      </w:r>
      <w:r>
        <w:rPr>
          <w:rFonts w:ascii="Times New Roman" w:eastAsiaTheme="minorEastAsia" w:hAnsi="Times New Roman" w:cs="Times New Roman"/>
          <w:bCs/>
          <w:kern w:val="0"/>
          <w:sz w:val="24"/>
          <w:szCs w:val="24"/>
          <w:lang w:val="mt-MT"/>
          <w14:ligatures w14:val="none"/>
        </w:rPr>
        <w:t xml:space="preserve">Jannar, </w:t>
      </w:r>
      <w:r w:rsidRPr="00CA335E">
        <w:rPr>
          <w:rFonts w:ascii="Times New Roman" w:eastAsiaTheme="minorEastAsia" w:hAnsi="Times New Roman" w:cs="Times New Roman"/>
          <w:bCs/>
          <w:kern w:val="0"/>
          <w:sz w:val="24"/>
          <w:szCs w:val="24"/>
          <w:lang w:val="mt-MT"/>
          <w14:ligatures w14:val="none"/>
        </w:rPr>
        <w:t>202</w:t>
      </w:r>
      <w:r>
        <w:rPr>
          <w:rFonts w:ascii="Times New Roman" w:eastAsiaTheme="minorEastAsia" w:hAnsi="Times New Roman" w:cs="Times New Roman"/>
          <w:bCs/>
          <w:kern w:val="0"/>
          <w:sz w:val="24"/>
          <w:szCs w:val="24"/>
          <w:lang w:val="mt-MT"/>
          <w14:ligatures w14:val="none"/>
        </w:rPr>
        <w:t>5</w:t>
      </w:r>
      <w:r w:rsidRPr="00CA335E">
        <w:rPr>
          <w:rFonts w:ascii="Times New Roman" w:eastAsiaTheme="minorEastAsia" w:hAnsi="Times New Roman" w:cs="Times New Roman"/>
          <w:bCs/>
          <w:kern w:val="0"/>
          <w:sz w:val="24"/>
          <w:szCs w:val="24"/>
          <w:lang w:val="mt-MT"/>
          <w14:ligatures w14:val="none"/>
        </w:rPr>
        <w:t xml:space="preserve"> li permezz taghha l-istess Awtorita` imponiet penali amministrattiva fl-ammont ta’ elf euro (€1000) in vista tal-allegazzjoni li fit-</w:t>
      </w:r>
      <w:r>
        <w:rPr>
          <w:rFonts w:ascii="Times New Roman" w:eastAsiaTheme="minorEastAsia" w:hAnsi="Times New Roman" w:cs="Times New Roman"/>
          <w:bCs/>
          <w:kern w:val="0"/>
          <w:sz w:val="24"/>
          <w:szCs w:val="24"/>
          <w:lang w:val="mt-MT"/>
          <w14:ligatures w14:val="none"/>
        </w:rPr>
        <w:t>18</w:t>
      </w:r>
      <w:r w:rsidRPr="00CA335E">
        <w:rPr>
          <w:rFonts w:ascii="Times New Roman" w:eastAsiaTheme="minorEastAsia" w:hAnsi="Times New Roman" w:cs="Times New Roman"/>
          <w:bCs/>
          <w:kern w:val="0"/>
          <w:sz w:val="24"/>
          <w:szCs w:val="24"/>
          <w:lang w:val="mt-MT"/>
          <w14:ligatures w14:val="none"/>
        </w:rPr>
        <w:t xml:space="preserve"> ta’ </w:t>
      </w:r>
      <w:r>
        <w:rPr>
          <w:rFonts w:ascii="Times New Roman" w:eastAsiaTheme="minorEastAsia" w:hAnsi="Times New Roman" w:cs="Times New Roman"/>
          <w:bCs/>
          <w:kern w:val="0"/>
          <w:sz w:val="24"/>
          <w:szCs w:val="24"/>
          <w:lang w:val="mt-MT"/>
          <w14:ligatures w14:val="none"/>
        </w:rPr>
        <w:t xml:space="preserve">Jannar, </w:t>
      </w:r>
      <w:r w:rsidRPr="00CA335E">
        <w:rPr>
          <w:rFonts w:ascii="Times New Roman" w:eastAsiaTheme="minorEastAsia" w:hAnsi="Times New Roman" w:cs="Times New Roman"/>
          <w:bCs/>
          <w:kern w:val="0"/>
          <w:sz w:val="24"/>
          <w:szCs w:val="24"/>
          <w:lang w:val="mt-MT"/>
          <w14:ligatures w14:val="none"/>
        </w:rPr>
        <w:t>202</w:t>
      </w:r>
      <w:r>
        <w:rPr>
          <w:rFonts w:ascii="Times New Roman" w:eastAsiaTheme="minorEastAsia" w:hAnsi="Times New Roman" w:cs="Times New Roman"/>
          <w:bCs/>
          <w:kern w:val="0"/>
          <w:sz w:val="24"/>
          <w:szCs w:val="24"/>
          <w:lang w:val="mt-MT"/>
          <w14:ligatures w14:val="none"/>
        </w:rPr>
        <w:t>5</w:t>
      </w:r>
      <w:r w:rsidRPr="00CA335E">
        <w:rPr>
          <w:rFonts w:ascii="Times New Roman" w:eastAsiaTheme="minorEastAsia" w:hAnsi="Times New Roman" w:cs="Times New Roman"/>
          <w:bCs/>
          <w:kern w:val="0"/>
          <w:sz w:val="24"/>
          <w:szCs w:val="24"/>
          <w:lang w:val="mt-MT"/>
          <w14:ligatures w14:val="none"/>
        </w:rPr>
        <w:t xml:space="preserve"> kif ukoll fi</w:t>
      </w:r>
      <w:r>
        <w:rPr>
          <w:rFonts w:ascii="Times New Roman" w:eastAsiaTheme="minorEastAsia" w:hAnsi="Times New Roman" w:cs="Times New Roman"/>
          <w:bCs/>
          <w:kern w:val="0"/>
          <w:sz w:val="24"/>
          <w:szCs w:val="24"/>
          <w:lang w:val="mt-MT"/>
          <w14:ligatures w14:val="none"/>
        </w:rPr>
        <w:t>l-granet u fi</w:t>
      </w:r>
      <w:r w:rsidRPr="00CA335E">
        <w:rPr>
          <w:rFonts w:ascii="Times New Roman" w:eastAsiaTheme="minorEastAsia" w:hAnsi="Times New Roman" w:cs="Times New Roman"/>
          <w:bCs/>
          <w:kern w:val="0"/>
          <w:sz w:val="24"/>
          <w:szCs w:val="24"/>
          <w:lang w:val="mt-MT"/>
          <w14:ligatures w14:val="none"/>
        </w:rPr>
        <w:t>x-xhur ta’</w:t>
      </w:r>
      <w:r>
        <w:rPr>
          <w:rFonts w:ascii="Times New Roman" w:eastAsiaTheme="minorEastAsia" w:hAnsi="Times New Roman" w:cs="Times New Roman"/>
          <w:bCs/>
          <w:kern w:val="0"/>
          <w:sz w:val="24"/>
          <w:szCs w:val="24"/>
          <w:lang w:val="mt-MT"/>
          <w14:ligatures w14:val="none"/>
        </w:rPr>
        <w:t xml:space="preserve"> </w:t>
      </w:r>
      <w:r w:rsidRPr="00CA335E">
        <w:rPr>
          <w:rFonts w:ascii="Times New Roman" w:eastAsiaTheme="minorEastAsia" w:hAnsi="Times New Roman" w:cs="Times New Roman"/>
          <w:bCs/>
          <w:kern w:val="0"/>
          <w:sz w:val="24"/>
          <w:szCs w:val="24"/>
          <w:lang w:val="mt-MT"/>
          <w14:ligatures w14:val="none"/>
        </w:rPr>
        <w:t>qabel, saru xogholijiet ta’</w:t>
      </w:r>
      <w:r>
        <w:rPr>
          <w:rFonts w:ascii="Times New Roman" w:eastAsiaTheme="minorEastAsia" w:hAnsi="Times New Roman" w:cs="Times New Roman"/>
          <w:bCs/>
          <w:kern w:val="0"/>
          <w:sz w:val="24"/>
          <w:szCs w:val="24"/>
          <w:lang w:val="mt-MT"/>
          <w14:ligatures w14:val="none"/>
        </w:rPr>
        <w:t xml:space="preserve"> </w:t>
      </w:r>
      <w:r w:rsidRPr="00CA335E">
        <w:rPr>
          <w:rFonts w:ascii="Times New Roman" w:eastAsiaTheme="minorEastAsia" w:hAnsi="Times New Roman" w:cs="Times New Roman"/>
          <w:bCs/>
          <w:kern w:val="0"/>
          <w:sz w:val="24"/>
          <w:szCs w:val="24"/>
          <w:lang w:val="mt-MT"/>
          <w14:ligatures w14:val="none"/>
        </w:rPr>
        <w:t>kostruzzjoni li mhux konformi mal-Legislazzjoni Sussisdarja 623.06, senjatament minhabba li l-appellant beda xogholijiet ta’ kostruzzjoni minghajr ma ssottometta d-dokumentazzjoni kollha kif mehtieg u minghajr l-approvazzjoni bil-miktub mill-Awtorita`tal-Bini u l-Kostruzzjoni.</w:t>
      </w:r>
    </w:p>
    <w:p w14:paraId="7E1D80C3"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4CE1B90B" w14:textId="2606B30E" w:rsidR="00CA335E" w:rsidRPr="00CA335E" w:rsidRDefault="00CA335E" w:rsidP="00CA335E">
      <w:pPr>
        <w:spacing w:after="0" w:line="360" w:lineRule="auto"/>
        <w:jc w:val="both"/>
        <w:rPr>
          <w:rFonts w:ascii="Times New Roman" w:eastAsia="Times New Roman" w:hAnsi="Times New Roman" w:cs="Times New Roman"/>
          <w:i/>
          <w:iCs/>
          <w:kern w:val="0"/>
          <w:sz w:val="24"/>
          <w:szCs w:val="24"/>
          <w:lang w:val="mt-MT" w:eastAsia="en-GB"/>
          <w14:ligatures w14:val="none"/>
        </w:rPr>
      </w:pPr>
      <w:r w:rsidRPr="00CA335E">
        <w:rPr>
          <w:rFonts w:ascii="Times New Roman" w:eastAsiaTheme="minorEastAsia" w:hAnsi="Times New Roman" w:cs="Times New Roman"/>
          <w:bCs/>
          <w:kern w:val="0"/>
          <w:sz w:val="24"/>
          <w:szCs w:val="24"/>
          <w:lang w:val="mt-MT"/>
          <w14:ligatures w14:val="none"/>
        </w:rPr>
        <w:t>Illi permezz ta’ tali appell l-appellanti jikkontendi li “</w:t>
      </w:r>
      <w:r w:rsidRPr="00CA335E">
        <w:rPr>
          <w:rFonts w:ascii="Times New Roman" w:eastAsiaTheme="minorEastAsia" w:hAnsi="Times New Roman" w:cs="Times New Roman"/>
          <w:bCs/>
          <w:i/>
          <w:iCs/>
          <w:kern w:val="0"/>
          <w:sz w:val="24"/>
          <w:szCs w:val="24"/>
          <w:lang w:val="mt-MT"/>
          <w14:ligatures w14:val="none"/>
        </w:rPr>
        <w:t xml:space="preserve">Development Planning Permit no PA/06645/24 does not fall under the scopy of Legal Notice 136 of 2019. Attached is a </w:t>
      </w:r>
      <w:r w:rsidRPr="00CA335E">
        <w:rPr>
          <w:rFonts w:ascii="Times New Roman" w:eastAsiaTheme="minorEastAsia" w:hAnsi="Times New Roman" w:cs="Times New Roman"/>
          <w:bCs/>
          <w:i/>
          <w:iCs/>
          <w:kern w:val="0"/>
          <w:sz w:val="24"/>
          <w:szCs w:val="24"/>
          <w:lang w:val="mt-MT"/>
          <w14:ligatures w14:val="none"/>
        </w:rPr>
        <w:lastRenderedPageBreak/>
        <w:t>declaration from Perit Jonathan Schembri s</w:t>
      </w:r>
      <w:r w:rsidR="00157A92">
        <w:rPr>
          <w:rFonts w:ascii="Times New Roman" w:eastAsiaTheme="minorEastAsia" w:hAnsi="Times New Roman" w:cs="Times New Roman"/>
          <w:bCs/>
          <w:i/>
          <w:iCs/>
          <w:kern w:val="0"/>
          <w:sz w:val="24"/>
          <w:szCs w:val="24"/>
          <w:lang w:val="mt-MT"/>
          <w14:ligatures w14:val="none"/>
        </w:rPr>
        <w:t>u</w:t>
      </w:r>
      <w:r w:rsidRPr="00CA335E">
        <w:rPr>
          <w:rFonts w:ascii="Times New Roman" w:eastAsiaTheme="minorEastAsia" w:hAnsi="Times New Roman" w:cs="Times New Roman"/>
          <w:bCs/>
          <w:i/>
          <w:iCs/>
          <w:kern w:val="0"/>
          <w:sz w:val="24"/>
          <w:szCs w:val="24"/>
          <w:lang w:val="mt-MT"/>
          <w14:ligatures w14:val="none"/>
        </w:rPr>
        <w:t>bstantiating this argument</w:t>
      </w:r>
      <w:r>
        <w:rPr>
          <w:rFonts w:ascii="Times New Roman" w:eastAsiaTheme="minorEastAsia" w:hAnsi="Times New Roman" w:cs="Times New Roman"/>
          <w:bCs/>
          <w:kern w:val="0"/>
          <w:sz w:val="24"/>
          <w:szCs w:val="24"/>
          <w:lang w:val="mt-MT"/>
          <w14:ligatures w14:val="none"/>
        </w:rPr>
        <w:t>”</w:t>
      </w:r>
      <w:r w:rsidRPr="00CA335E">
        <w:rPr>
          <w:rFonts w:ascii="Times New Roman" w:eastAsiaTheme="minorEastAsia" w:hAnsi="Times New Roman" w:cs="Times New Roman"/>
          <w:bCs/>
          <w:kern w:val="0"/>
          <w:sz w:val="24"/>
          <w:szCs w:val="24"/>
          <w:lang w:val="mt-MT"/>
          <w14:ligatures w14:val="none"/>
        </w:rPr>
        <w:t xml:space="preserve">.  </w:t>
      </w:r>
      <w:r w:rsidR="00B8014B">
        <w:rPr>
          <w:rFonts w:ascii="Times New Roman" w:eastAsiaTheme="minorEastAsia" w:hAnsi="Times New Roman" w:cs="Times New Roman"/>
          <w:bCs/>
          <w:kern w:val="0"/>
          <w:sz w:val="24"/>
          <w:szCs w:val="24"/>
          <w:lang w:val="mt-MT"/>
          <w14:ligatures w14:val="none"/>
        </w:rPr>
        <w:t xml:space="preserve">Ra d-dikjarazzoni ta-Perit Schembri prezentata mal-istess appell. </w:t>
      </w:r>
    </w:p>
    <w:p w14:paraId="0A84ACBF"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1EE3D562"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r w:rsidRPr="00CA335E">
        <w:rPr>
          <w:rFonts w:ascii="Times New Roman" w:eastAsiaTheme="minorEastAsia" w:hAnsi="Times New Roman" w:cs="Times New Roman"/>
          <w:bCs/>
          <w:kern w:val="0"/>
          <w:sz w:val="24"/>
          <w:szCs w:val="24"/>
          <w:lang w:val="mt-MT"/>
          <w14:ligatures w14:val="none"/>
        </w:rPr>
        <w:t xml:space="preserve">Ra r-risposta tal-Awtorita’ appellata li permezz tagħha wieġbet u eċċepiet is-segwenti: </w:t>
      </w:r>
    </w:p>
    <w:p w14:paraId="257DDAB5"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683C1DE1" w14:textId="77777777" w:rsidR="00CA335E" w:rsidRPr="00CA335E" w:rsidRDefault="00CA335E" w:rsidP="00CA335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CA335E">
        <w:rPr>
          <w:rFonts w:ascii="Times New Roman" w:eastAsia="Times New Roman" w:hAnsi="Times New Roman" w:cs="Times New Roman"/>
          <w:i/>
          <w:iCs/>
          <w:color w:val="000000"/>
          <w:kern w:val="0"/>
          <w:sz w:val="24"/>
          <w:szCs w:val="24"/>
          <w:lang w:val="mt-MT" w:eastAsia="en-GB"/>
          <w14:ligatures w14:val="none"/>
        </w:rPr>
        <w:t>Illi l-Awtorità appellata qegħda umilment tissottometti li kwalunkwe deċiżjoni meħuda kienet in konformita’ ma’ dak rikjest mil-liġi, u kwindi korretta f’kull aspett;</w:t>
      </w:r>
    </w:p>
    <w:p w14:paraId="7E6BB6A1" w14:textId="77777777" w:rsidR="00157A92" w:rsidRDefault="00157A92" w:rsidP="00157A92">
      <w:p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p>
    <w:p w14:paraId="43544D3A" w14:textId="5DFE4361" w:rsidR="00CA335E" w:rsidRPr="00CA335E" w:rsidRDefault="00CA335E" w:rsidP="00CA335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CA335E">
        <w:rPr>
          <w:rFonts w:ascii="Times New Roman" w:eastAsia="Times New Roman" w:hAnsi="Times New Roman" w:cs="Times New Roman"/>
          <w:i/>
          <w:iCs/>
          <w:color w:val="000000"/>
          <w:kern w:val="0"/>
          <w:sz w:val="24"/>
          <w:szCs w:val="24"/>
          <w:lang w:val="mt-MT" w:eastAsia="en-GB"/>
          <w14:ligatures w14:val="none"/>
        </w:rPr>
        <w:t>Illi l-</w:t>
      </w:r>
      <w:r>
        <w:rPr>
          <w:rFonts w:ascii="Times New Roman" w:eastAsia="Times New Roman" w:hAnsi="Times New Roman" w:cs="Times New Roman"/>
          <w:i/>
          <w:iCs/>
          <w:color w:val="000000"/>
          <w:kern w:val="0"/>
          <w:sz w:val="24"/>
          <w:szCs w:val="24"/>
          <w:lang w:val="mt-MT" w:eastAsia="en-GB"/>
          <w14:ligatures w14:val="none"/>
        </w:rPr>
        <w:t>Awtorita` hija tal-fehma li l-izvilupp propost ma jaqax taht id-dettami indikati f’regolament 4, u kwindi jinnecessita awtorizzazzjoni min-naha tal-Awtorita` sabiex jsir kwalunkwe xoghol, liema kienet karenti fil-kaz odjern</w:t>
      </w:r>
      <w:r w:rsidRPr="00CA335E">
        <w:rPr>
          <w:rFonts w:ascii="Times New Roman" w:eastAsia="Times New Roman" w:hAnsi="Times New Roman" w:cs="Times New Roman"/>
          <w:i/>
          <w:iCs/>
          <w:color w:val="000000"/>
          <w:kern w:val="0"/>
          <w:sz w:val="24"/>
          <w:szCs w:val="24"/>
          <w:lang w:val="mt-MT" w:eastAsia="en-GB"/>
          <w14:ligatures w14:val="none"/>
        </w:rPr>
        <w:t xml:space="preserve">. </w:t>
      </w:r>
    </w:p>
    <w:p w14:paraId="14238077" w14:textId="77777777" w:rsidR="00CA335E" w:rsidRPr="00CA335E" w:rsidRDefault="00CA335E" w:rsidP="00CA335E">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31041944" w14:textId="77777777" w:rsidR="00CA335E" w:rsidRPr="00CA335E" w:rsidRDefault="00CA335E" w:rsidP="00CA335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CA335E">
        <w:rPr>
          <w:rFonts w:ascii="Times New Roman" w:eastAsia="Times New Roman" w:hAnsi="Times New Roman" w:cs="Times New Roman"/>
          <w:i/>
          <w:iCs/>
          <w:color w:val="000000"/>
          <w:kern w:val="0"/>
          <w:sz w:val="24"/>
          <w:szCs w:val="24"/>
          <w:lang w:val="mt-MT" w:eastAsia="en-GB"/>
          <w14:ligatures w14:val="none"/>
        </w:rPr>
        <w:t xml:space="preserve">Illi qieghed jkun anness u mmarkat mar-risposta ‘Trial of Event’ (sic) bhala Dok A u r-ritratti annessi u markati bhala Dok B. </w:t>
      </w:r>
    </w:p>
    <w:p w14:paraId="054A1CD9" w14:textId="77777777" w:rsidR="00CA335E" w:rsidRPr="00CA335E" w:rsidRDefault="00CA335E" w:rsidP="00CA335E">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07416DD4" w14:textId="77777777" w:rsidR="00CA335E" w:rsidRPr="00CA335E" w:rsidRDefault="00CA335E" w:rsidP="00CA335E">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CA335E">
        <w:rPr>
          <w:rFonts w:ascii="Times New Roman" w:eastAsia="Times New Roman" w:hAnsi="Times New Roman" w:cs="Times New Roman"/>
          <w:i/>
          <w:iCs/>
          <w:color w:val="000000"/>
          <w:kern w:val="0"/>
          <w:sz w:val="24"/>
          <w:szCs w:val="24"/>
          <w:lang w:val="mt-MT" w:eastAsia="en-GB"/>
          <w14:ligatures w14:val="none"/>
        </w:rPr>
        <w:t xml:space="preserve">Ghaldaqstant fuq dak suindikat, l-Awtorita` appellata qiegheda umilment titlob lil dan l-Onor. Tribunal biex tichad l-appell odjern. </w:t>
      </w:r>
    </w:p>
    <w:p w14:paraId="741F0BF2" w14:textId="77777777" w:rsidR="00CA335E" w:rsidRPr="00CA335E" w:rsidRDefault="00CA335E" w:rsidP="00CA335E">
      <w:pPr>
        <w:spacing w:after="0" w:line="240" w:lineRule="auto"/>
        <w:ind w:left="720"/>
        <w:contextualSpacing/>
        <w:rPr>
          <w:rFonts w:ascii="Times New Roman" w:eastAsia="Times New Roman" w:hAnsi="Times New Roman" w:cs="Times New Roman"/>
          <w:i/>
          <w:iCs/>
          <w:color w:val="000000"/>
          <w:kern w:val="0"/>
          <w:sz w:val="24"/>
          <w:szCs w:val="24"/>
          <w:lang w:val="mt-MT" w:eastAsia="en-GB"/>
          <w14:ligatures w14:val="none"/>
        </w:rPr>
      </w:pPr>
    </w:p>
    <w:p w14:paraId="661A2A03" w14:textId="77777777" w:rsidR="00CA335E" w:rsidRPr="00CA335E" w:rsidRDefault="00CA335E" w:rsidP="00CA335E">
      <w:pPr>
        <w:numPr>
          <w:ilvl w:val="0"/>
          <w:numId w:val="1"/>
        </w:numPr>
        <w:spacing w:after="0" w:line="360" w:lineRule="auto"/>
        <w:ind w:left="1134"/>
        <w:jc w:val="both"/>
        <w:textAlignment w:val="baseline"/>
        <w:rPr>
          <w:rFonts w:ascii="Times New Roman" w:eastAsiaTheme="minorEastAsia" w:hAnsi="Times New Roman" w:cs="Times New Roman"/>
          <w:bCs/>
          <w:kern w:val="0"/>
          <w:sz w:val="24"/>
          <w:szCs w:val="24"/>
          <w:lang w:val="mt-MT"/>
          <w14:ligatures w14:val="none"/>
        </w:rPr>
      </w:pPr>
      <w:r w:rsidRPr="00CA335E">
        <w:rPr>
          <w:rFonts w:ascii="Times New Roman" w:eastAsia="Times New Roman" w:hAnsi="Times New Roman" w:cs="Times New Roman"/>
          <w:i/>
          <w:iCs/>
          <w:color w:val="000000"/>
          <w:kern w:val="0"/>
          <w:sz w:val="24"/>
          <w:szCs w:val="24"/>
          <w:lang w:val="en-US" w:eastAsia="en-GB"/>
          <w14:ligatures w14:val="none"/>
        </w:rPr>
        <w:t xml:space="preserve">Salv </w:t>
      </w:r>
      <w:proofErr w:type="spellStart"/>
      <w:r w:rsidRPr="00CA335E">
        <w:rPr>
          <w:rFonts w:ascii="Times New Roman" w:eastAsia="Times New Roman" w:hAnsi="Times New Roman" w:cs="Times New Roman"/>
          <w:i/>
          <w:iCs/>
          <w:color w:val="000000"/>
          <w:kern w:val="0"/>
          <w:sz w:val="24"/>
          <w:szCs w:val="24"/>
          <w:lang w:val="en-US" w:eastAsia="en-GB"/>
          <w14:ligatures w14:val="none"/>
        </w:rPr>
        <w:t>eccezzjonijiet</w:t>
      </w:r>
      <w:proofErr w:type="spellEnd"/>
      <w:r w:rsidRPr="00CA335E">
        <w:rPr>
          <w:rFonts w:ascii="Times New Roman" w:eastAsia="Times New Roman" w:hAnsi="Times New Roman" w:cs="Times New Roman"/>
          <w:i/>
          <w:iCs/>
          <w:color w:val="000000"/>
          <w:kern w:val="0"/>
          <w:sz w:val="24"/>
          <w:szCs w:val="24"/>
          <w:lang w:val="en-US" w:eastAsia="en-GB"/>
          <w14:ligatures w14:val="none"/>
        </w:rPr>
        <w:t xml:space="preserve"> </w:t>
      </w:r>
      <w:proofErr w:type="spellStart"/>
      <w:r w:rsidRPr="00CA335E">
        <w:rPr>
          <w:rFonts w:ascii="Times New Roman" w:eastAsia="Times New Roman" w:hAnsi="Times New Roman" w:cs="Times New Roman"/>
          <w:i/>
          <w:iCs/>
          <w:color w:val="000000"/>
          <w:kern w:val="0"/>
          <w:sz w:val="24"/>
          <w:szCs w:val="24"/>
          <w:lang w:val="en-US" w:eastAsia="en-GB"/>
          <w14:ligatures w14:val="none"/>
        </w:rPr>
        <w:t>ulterjuri</w:t>
      </w:r>
      <w:proofErr w:type="spellEnd"/>
      <w:r w:rsidRPr="00CA335E">
        <w:rPr>
          <w:rFonts w:ascii="Times New Roman" w:eastAsia="Times New Roman" w:hAnsi="Times New Roman" w:cs="Times New Roman"/>
          <w:i/>
          <w:iCs/>
          <w:color w:val="000000"/>
          <w:kern w:val="0"/>
          <w:sz w:val="24"/>
          <w:szCs w:val="24"/>
          <w:lang w:val="en-US" w:eastAsia="en-GB"/>
          <w14:ligatures w14:val="none"/>
        </w:rPr>
        <w:t xml:space="preserve">. </w:t>
      </w:r>
    </w:p>
    <w:p w14:paraId="14CAB2E6" w14:textId="77777777" w:rsidR="00CA335E" w:rsidRPr="00CA335E" w:rsidRDefault="00CA335E" w:rsidP="00CA335E">
      <w:pPr>
        <w:spacing w:after="0" w:line="240" w:lineRule="auto"/>
        <w:ind w:left="720"/>
        <w:contextualSpacing/>
        <w:rPr>
          <w:rFonts w:ascii="Times New Roman" w:eastAsiaTheme="minorEastAsia" w:hAnsi="Times New Roman" w:cs="Times New Roman"/>
          <w:bCs/>
          <w:kern w:val="0"/>
          <w:sz w:val="24"/>
          <w:szCs w:val="24"/>
          <w:lang w:val="mt-MT"/>
          <w14:ligatures w14:val="none"/>
        </w:rPr>
      </w:pPr>
    </w:p>
    <w:p w14:paraId="3F3DD40F"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41FD0742"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r w:rsidRPr="00CA335E">
        <w:rPr>
          <w:rFonts w:ascii="Times New Roman" w:eastAsiaTheme="minorEastAsia" w:hAnsi="Times New Roman" w:cs="Times New Roman"/>
          <w:bCs/>
          <w:kern w:val="0"/>
          <w:sz w:val="24"/>
          <w:szCs w:val="24"/>
          <w:lang w:val="mt-MT"/>
          <w14:ligatures w14:val="none"/>
        </w:rPr>
        <w:t>Ra l-atti u d-dokumenti kollha;</w:t>
      </w:r>
    </w:p>
    <w:p w14:paraId="230C5794"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2B88921F" w14:textId="77777777" w:rsidR="00CA335E" w:rsidRPr="00CA335E" w:rsidRDefault="00CA335E" w:rsidP="00CA335E">
      <w:pPr>
        <w:spacing w:after="0" w:line="360" w:lineRule="auto"/>
        <w:ind w:right="95"/>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 xml:space="preserve">Sema’ x-xhieda tal-Perit </w:t>
      </w:r>
      <w:r w:rsidR="00B8014B">
        <w:rPr>
          <w:rFonts w:ascii="Times New Roman" w:eastAsiaTheme="minorEastAsia" w:hAnsi="Times New Roman" w:cs="Times New Roman"/>
          <w:kern w:val="0"/>
          <w:sz w:val="24"/>
          <w:szCs w:val="24"/>
          <w:lang w:val="it-IT"/>
          <w14:ligatures w14:val="none"/>
        </w:rPr>
        <w:t xml:space="preserve">Jonathan Schembri </w:t>
      </w:r>
      <w:r w:rsidRPr="00CA335E">
        <w:rPr>
          <w:rFonts w:ascii="Times New Roman" w:eastAsiaTheme="minorEastAsia" w:hAnsi="Times New Roman" w:cs="Times New Roman"/>
          <w:kern w:val="0"/>
          <w:sz w:val="24"/>
          <w:szCs w:val="24"/>
          <w:lang w:val="it-IT"/>
          <w14:ligatures w14:val="none"/>
        </w:rPr>
        <w:t>waqt is-seduta ta</w:t>
      </w:r>
      <w:r w:rsidR="00B8014B">
        <w:rPr>
          <w:rFonts w:ascii="Times New Roman" w:eastAsiaTheme="minorEastAsia" w:hAnsi="Times New Roman" w:cs="Times New Roman"/>
          <w:kern w:val="0"/>
          <w:sz w:val="24"/>
          <w:szCs w:val="24"/>
          <w:lang w:val="it-IT"/>
          <w14:ligatures w14:val="none"/>
        </w:rPr>
        <w:t>l-5</w:t>
      </w:r>
      <w:r w:rsidRPr="00CA335E">
        <w:rPr>
          <w:rFonts w:ascii="Times New Roman" w:eastAsiaTheme="minorEastAsia" w:hAnsi="Times New Roman" w:cs="Times New Roman"/>
          <w:kern w:val="0"/>
          <w:sz w:val="24"/>
          <w:szCs w:val="24"/>
          <w:lang w:val="it-IT"/>
          <w14:ligatures w14:val="none"/>
        </w:rPr>
        <w:t xml:space="preserve"> ta’ </w:t>
      </w:r>
      <w:r w:rsidR="00B8014B">
        <w:rPr>
          <w:rFonts w:ascii="Times New Roman" w:eastAsiaTheme="minorEastAsia" w:hAnsi="Times New Roman" w:cs="Times New Roman"/>
          <w:kern w:val="0"/>
          <w:sz w:val="24"/>
          <w:szCs w:val="24"/>
          <w:lang w:val="it-IT"/>
          <w14:ligatures w14:val="none"/>
        </w:rPr>
        <w:t>Marzu, 2025</w:t>
      </w:r>
      <w:r w:rsidRPr="00CA335E">
        <w:rPr>
          <w:rFonts w:ascii="Times New Roman" w:eastAsiaTheme="minorEastAsia" w:hAnsi="Times New Roman" w:cs="Times New Roman"/>
          <w:kern w:val="0"/>
          <w:sz w:val="24"/>
          <w:szCs w:val="24"/>
          <w:lang w:val="it-IT"/>
          <w14:ligatures w14:val="none"/>
        </w:rPr>
        <w:t xml:space="preserve">. </w:t>
      </w:r>
    </w:p>
    <w:p w14:paraId="315A826F" w14:textId="77777777" w:rsidR="00CA335E" w:rsidRPr="00CA335E" w:rsidRDefault="00CA335E" w:rsidP="00CA335E">
      <w:pPr>
        <w:spacing w:after="0" w:line="360" w:lineRule="auto"/>
        <w:ind w:right="95"/>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 xml:space="preserve">  </w:t>
      </w:r>
    </w:p>
    <w:p w14:paraId="784AA7A0" w14:textId="77777777" w:rsidR="00CA335E" w:rsidRPr="00CA335E" w:rsidRDefault="00CA335E" w:rsidP="00CA335E">
      <w:pPr>
        <w:spacing w:after="0" w:line="360" w:lineRule="auto"/>
        <w:ind w:right="95"/>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 xml:space="preserve">Ra dak verbalizzat waqt l-istess seduta datata </w:t>
      </w:r>
      <w:r w:rsidR="00B8014B">
        <w:rPr>
          <w:rFonts w:ascii="Times New Roman" w:eastAsiaTheme="minorEastAsia" w:hAnsi="Times New Roman" w:cs="Times New Roman"/>
          <w:kern w:val="0"/>
          <w:sz w:val="24"/>
          <w:szCs w:val="24"/>
          <w:lang w:val="it-IT"/>
          <w14:ligatures w14:val="none"/>
        </w:rPr>
        <w:t xml:space="preserve">5 ta’ Marzu, 2025 senjatament li, peress li l-appellanti ma kienx qed jikkontesta d-dokumentazzjoni annessa mar-risposta tal-Awtorita`, l-istess Awtorita` iddikjarat li m’ghandhiex aktar provi x’tipproduci u strahet fuq l-atti ezebiti. </w:t>
      </w:r>
    </w:p>
    <w:p w14:paraId="630D9404" w14:textId="77777777" w:rsidR="00CA335E" w:rsidRPr="00CA335E" w:rsidRDefault="00CA335E" w:rsidP="00CA335E">
      <w:pPr>
        <w:spacing w:after="0" w:line="360" w:lineRule="auto"/>
        <w:ind w:right="95"/>
        <w:jc w:val="both"/>
        <w:rPr>
          <w:rFonts w:ascii="Times New Roman" w:eastAsiaTheme="minorEastAsia" w:hAnsi="Times New Roman" w:cs="Times New Roman"/>
          <w:kern w:val="0"/>
          <w:sz w:val="24"/>
          <w:szCs w:val="24"/>
          <w:lang w:val="it-IT"/>
          <w14:ligatures w14:val="none"/>
        </w:rPr>
      </w:pPr>
    </w:p>
    <w:p w14:paraId="1AF45710" w14:textId="77777777" w:rsidR="00CA335E" w:rsidRPr="00CA335E" w:rsidRDefault="00CA335E" w:rsidP="00CA335E">
      <w:pPr>
        <w:spacing w:after="0" w:line="360" w:lineRule="auto"/>
        <w:ind w:right="95"/>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 xml:space="preserve">Ra li l-appell thalla ghas-sentenza ghas-seduta tal-lum. </w:t>
      </w:r>
    </w:p>
    <w:p w14:paraId="2ABCD316" w14:textId="77777777" w:rsidR="00CA335E" w:rsidRDefault="00CA335E" w:rsidP="00CA335E">
      <w:pPr>
        <w:spacing w:after="0" w:line="360" w:lineRule="auto"/>
        <w:ind w:right="95"/>
        <w:jc w:val="both"/>
        <w:rPr>
          <w:rFonts w:ascii="Times New Roman" w:eastAsiaTheme="minorEastAsia" w:hAnsi="Times New Roman" w:cs="Times New Roman"/>
          <w:kern w:val="0"/>
          <w:sz w:val="24"/>
          <w:szCs w:val="24"/>
          <w:lang w:val="it-IT"/>
          <w14:ligatures w14:val="none"/>
        </w:rPr>
      </w:pPr>
    </w:p>
    <w:p w14:paraId="28FAB767" w14:textId="77777777" w:rsidR="00B8014B" w:rsidRDefault="00B8014B" w:rsidP="00CA335E">
      <w:pPr>
        <w:spacing w:after="0" w:line="360" w:lineRule="auto"/>
        <w:ind w:right="95"/>
        <w:jc w:val="both"/>
        <w:rPr>
          <w:rFonts w:ascii="Times New Roman" w:eastAsiaTheme="minorEastAsia" w:hAnsi="Times New Roman" w:cs="Times New Roman"/>
          <w:kern w:val="0"/>
          <w:sz w:val="24"/>
          <w:szCs w:val="24"/>
          <w:lang w:val="it-IT"/>
          <w14:ligatures w14:val="none"/>
        </w:rPr>
      </w:pPr>
    </w:p>
    <w:p w14:paraId="355ABE0A" w14:textId="77777777" w:rsidR="00B8014B" w:rsidRDefault="00B8014B" w:rsidP="00CA335E">
      <w:pPr>
        <w:spacing w:after="0" w:line="360" w:lineRule="auto"/>
        <w:ind w:right="95"/>
        <w:jc w:val="both"/>
        <w:rPr>
          <w:rFonts w:ascii="Times New Roman" w:eastAsiaTheme="minorEastAsia" w:hAnsi="Times New Roman" w:cs="Times New Roman"/>
          <w:kern w:val="0"/>
          <w:sz w:val="24"/>
          <w:szCs w:val="24"/>
          <w:lang w:val="it-IT"/>
          <w14:ligatures w14:val="none"/>
        </w:rPr>
      </w:pPr>
    </w:p>
    <w:p w14:paraId="75395461" w14:textId="77777777" w:rsidR="00B8014B" w:rsidRPr="00CA335E" w:rsidRDefault="00B8014B" w:rsidP="00CA335E">
      <w:pPr>
        <w:spacing w:after="0" w:line="360" w:lineRule="auto"/>
        <w:ind w:right="95"/>
        <w:jc w:val="both"/>
        <w:rPr>
          <w:rFonts w:ascii="Times New Roman" w:eastAsiaTheme="minorEastAsia" w:hAnsi="Times New Roman" w:cs="Times New Roman"/>
          <w:kern w:val="0"/>
          <w:sz w:val="24"/>
          <w:szCs w:val="24"/>
          <w:lang w:val="it-IT"/>
          <w14:ligatures w14:val="none"/>
        </w:rPr>
      </w:pPr>
    </w:p>
    <w:p w14:paraId="336709C5"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mt-MT"/>
          <w14:ligatures w14:val="none"/>
        </w:rPr>
        <w:lastRenderedPageBreak/>
        <w:t>Ikkunsidra</w:t>
      </w:r>
    </w:p>
    <w:p w14:paraId="12EEA036"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p>
    <w:p w14:paraId="678502B1" w14:textId="77777777" w:rsidR="00B8014B"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 xml:space="preserve">Illi </w:t>
      </w:r>
      <w:r w:rsidR="00B8014B">
        <w:rPr>
          <w:rFonts w:ascii="Times New Roman" w:eastAsiaTheme="minorEastAsia" w:hAnsi="Times New Roman" w:cs="Times New Roman"/>
          <w:kern w:val="0"/>
          <w:sz w:val="24"/>
          <w:szCs w:val="24"/>
          <w:lang w:val="it-IT"/>
          <w14:ligatures w14:val="none"/>
        </w:rPr>
        <w:t xml:space="preserve">jirrizulta car mill-appell prezentat, li l-aggravju sollevat jirrigwardja n-natura tax-xogholijiet li kien wettaq l-appellanti u jekk tali xogholijiet jehtigux l-approvazzjoni tal-Awtorita` biex ikunu jistghu jibdew liema approvazzjoni tohrog biss wara s-sottomissjoni tad-dokumenti rikjesti dejjem skont il-Legislazzjoni Sussidjarja 623.06. </w:t>
      </w:r>
    </w:p>
    <w:p w14:paraId="74C540A6" w14:textId="77777777" w:rsidR="00B8014B" w:rsidRDefault="00B8014B" w:rsidP="00CA335E">
      <w:pPr>
        <w:spacing w:after="0" w:line="360" w:lineRule="auto"/>
        <w:jc w:val="both"/>
        <w:rPr>
          <w:rFonts w:ascii="Times New Roman" w:eastAsiaTheme="minorEastAsia" w:hAnsi="Times New Roman" w:cs="Times New Roman"/>
          <w:kern w:val="0"/>
          <w:sz w:val="24"/>
          <w:szCs w:val="24"/>
          <w:lang w:val="it-IT"/>
          <w14:ligatures w14:val="none"/>
        </w:rPr>
      </w:pPr>
    </w:p>
    <w:p w14:paraId="4E4E2647" w14:textId="2E6D14AA" w:rsidR="00B8014B" w:rsidRDefault="00B8014B" w:rsidP="00CA335E">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Illi fir-rigward tan-natura tax-xogholijiet li saru, it-Trail of Event prezentat mill-Awtorita` mar-risposta taghha jindika li fit-18 ta’ Jannar, 2025, data li fiha inharget l-Istop notice, l-ufficjal sab xogholijiet ghaddejjin liema xogholijiet kienu jikkonsistu minn “</w:t>
      </w:r>
      <w:r w:rsidRPr="00157A92">
        <w:rPr>
          <w:rFonts w:ascii="Times New Roman" w:eastAsiaTheme="minorEastAsia" w:hAnsi="Times New Roman" w:cs="Times New Roman"/>
          <w:i/>
          <w:iCs/>
          <w:kern w:val="0"/>
          <w:sz w:val="24"/>
          <w:szCs w:val="24"/>
          <w:lang w:val="it-IT"/>
          <w14:ligatures w14:val="none"/>
        </w:rPr>
        <w:t>a door has been opened recently and another one closed</w:t>
      </w:r>
      <w:r>
        <w:rPr>
          <w:rFonts w:ascii="Times New Roman" w:eastAsiaTheme="minorEastAsia" w:hAnsi="Times New Roman" w:cs="Times New Roman"/>
          <w:kern w:val="0"/>
          <w:sz w:val="24"/>
          <w:szCs w:val="24"/>
          <w:lang w:val="it-IT"/>
          <w14:ligatures w14:val="none"/>
        </w:rPr>
        <w:t xml:space="preserve">”. Din il-verzjoni hija fil-fatt konfermata wkoll mill-Perit Schembri li, waqt is-seduta tal-5 ta’ Marzu, 2025 xehed li: </w:t>
      </w:r>
    </w:p>
    <w:p w14:paraId="271F42F1" w14:textId="77777777" w:rsidR="00B8014B" w:rsidRDefault="00B8014B" w:rsidP="00CA335E">
      <w:pPr>
        <w:spacing w:after="0" w:line="360" w:lineRule="auto"/>
        <w:jc w:val="both"/>
        <w:rPr>
          <w:rFonts w:ascii="Times New Roman" w:eastAsiaTheme="minorEastAsia" w:hAnsi="Times New Roman" w:cs="Times New Roman"/>
          <w:kern w:val="0"/>
          <w:sz w:val="24"/>
          <w:szCs w:val="24"/>
          <w:lang w:val="it-IT"/>
          <w14:ligatures w14:val="none"/>
        </w:rPr>
      </w:pPr>
    </w:p>
    <w:p w14:paraId="7557E686" w14:textId="77777777" w:rsidR="00B8014B" w:rsidRPr="00B8014B" w:rsidRDefault="00B8014B" w:rsidP="00B8014B">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Pr>
          <w:rFonts w:ascii="Times New Roman" w:eastAsiaTheme="minorEastAsia" w:hAnsi="Times New Roman" w:cs="Times New Roman"/>
          <w:kern w:val="0"/>
          <w:sz w:val="24"/>
          <w:szCs w:val="24"/>
          <w:lang w:val="it-IT"/>
          <w14:ligatures w14:val="none"/>
        </w:rPr>
        <w:t>“</w:t>
      </w:r>
      <w:r w:rsidRPr="00B8014B">
        <w:rPr>
          <w:rFonts w:ascii="Times New Roman" w:eastAsiaTheme="minorEastAsia" w:hAnsi="Times New Roman" w:cs="Times New Roman"/>
          <w:i/>
          <w:iCs/>
          <w:kern w:val="0"/>
          <w:sz w:val="24"/>
          <w:szCs w:val="24"/>
          <w:lang w:val="it-IT"/>
          <w14:ligatures w14:val="none"/>
        </w:rPr>
        <w:t>Ix-xogħlijiet mertu ta’ dan il-każ jinkludu ftuħ u għeluq ta’ bibien. Ngħid allura li dawn it-tip</w:t>
      </w:r>
      <w:r>
        <w:rPr>
          <w:rFonts w:ascii="Times New Roman" w:eastAsiaTheme="minorEastAsia" w:hAnsi="Times New Roman" w:cs="Times New Roman"/>
          <w:i/>
          <w:iCs/>
          <w:kern w:val="0"/>
          <w:sz w:val="24"/>
          <w:szCs w:val="24"/>
          <w:lang w:val="it-IT"/>
          <w14:ligatures w14:val="none"/>
        </w:rPr>
        <w:t xml:space="preserve"> </w:t>
      </w:r>
      <w:r w:rsidRPr="00B8014B">
        <w:rPr>
          <w:rFonts w:ascii="Times New Roman" w:eastAsiaTheme="minorEastAsia" w:hAnsi="Times New Roman" w:cs="Times New Roman"/>
          <w:i/>
          <w:iCs/>
          <w:kern w:val="0"/>
          <w:sz w:val="24"/>
          <w:szCs w:val="24"/>
          <w:lang w:val="it-IT"/>
          <w14:ligatures w14:val="none"/>
        </w:rPr>
        <w:t>ta’ xogħlijiet huma eżenti mill-ħtieġa li jkollhom l-approvazzjoni bil-miktub tal-Awtorita’ tal-Bini u l-Kostruzzjoni.</w:t>
      </w:r>
    </w:p>
    <w:p w14:paraId="48338DC1" w14:textId="77777777" w:rsidR="00B8014B" w:rsidRPr="00B8014B" w:rsidRDefault="00B8014B" w:rsidP="00B8014B">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B8014B">
        <w:rPr>
          <w:rFonts w:ascii="Times New Roman" w:eastAsiaTheme="minorEastAsia" w:hAnsi="Times New Roman" w:cs="Times New Roman"/>
          <w:i/>
          <w:iCs/>
          <w:kern w:val="0"/>
          <w:sz w:val="24"/>
          <w:szCs w:val="24"/>
          <w:lang w:val="it-IT"/>
          <w14:ligatures w14:val="none"/>
        </w:rPr>
        <w:t>Ngħid filfatt li meta tkun ħa tiftaħ bieb m’hemmx għalfejn li tagħmel condition report għal</w:t>
      </w:r>
      <w:r>
        <w:rPr>
          <w:rFonts w:ascii="Times New Roman" w:eastAsiaTheme="minorEastAsia" w:hAnsi="Times New Roman" w:cs="Times New Roman"/>
          <w:i/>
          <w:iCs/>
          <w:kern w:val="0"/>
          <w:sz w:val="24"/>
          <w:szCs w:val="24"/>
          <w:lang w:val="it-IT"/>
          <w14:ligatures w14:val="none"/>
        </w:rPr>
        <w:t xml:space="preserve"> </w:t>
      </w:r>
      <w:r w:rsidRPr="00B8014B">
        <w:rPr>
          <w:rFonts w:ascii="Times New Roman" w:eastAsiaTheme="minorEastAsia" w:hAnsi="Times New Roman" w:cs="Times New Roman"/>
          <w:i/>
          <w:iCs/>
          <w:kern w:val="0"/>
          <w:sz w:val="24"/>
          <w:szCs w:val="24"/>
          <w:lang w:val="it-IT"/>
          <w14:ligatures w14:val="none"/>
        </w:rPr>
        <w:t>ta’ taħtek.</w:t>
      </w:r>
    </w:p>
    <w:p w14:paraId="7CD1EE51" w14:textId="77777777" w:rsidR="00B8014B" w:rsidRPr="00B8014B" w:rsidRDefault="00B8014B" w:rsidP="00B8014B">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B8014B">
        <w:rPr>
          <w:rFonts w:ascii="Times New Roman" w:eastAsiaTheme="minorEastAsia" w:hAnsi="Times New Roman" w:cs="Times New Roman"/>
          <w:i/>
          <w:iCs/>
          <w:kern w:val="0"/>
          <w:sz w:val="24"/>
          <w:szCs w:val="24"/>
          <w:lang w:val="it-IT"/>
          <w14:ligatures w14:val="none"/>
        </w:rPr>
        <w:t>Qed issirli referenza mit-Tribunal għall-PA/6645/24 u qed nintalab nikkjarifika għal xix</w:t>
      </w:r>
      <w:r>
        <w:rPr>
          <w:rFonts w:ascii="Times New Roman" w:eastAsiaTheme="minorEastAsia" w:hAnsi="Times New Roman" w:cs="Times New Roman"/>
          <w:i/>
          <w:iCs/>
          <w:kern w:val="0"/>
          <w:sz w:val="24"/>
          <w:szCs w:val="24"/>
          <w:lang w:val="it-IT"/>
          <w14:ligatures w14:val="none"/>
        </w:rPr>
        <w:t xml:space="preserve"> </w:t>
      </w:r>
      <w:r w:rsidRPr="00B8014B">
        <w:rPr>
          <w:rFonts w:ascii="Times New Roman" w:eastAsiaTheme="minorEastAsia" w:hAnsi="Times New Roman" w:cs="Times New Roman"/>
          <w:i/>
          <w:iCs/>
          <w:kern w:val="0"/>
          <w:sz w:val="24"/>
          <w:szCs w:val="24"/>
          <w:lang w:val="it-IT"/>
          <w14:ligatures w14:val="none"/>
        </w:rPr>
        <w:t>kienet tirreferi din l-applikazzjoni u nispjega li din kienet applikazzjoni li kienet tkopri l-qsim</w:t>
      </w:r>
      <w:r>
        <w:rPr>
          <w:rFonts w:ascii="Times New Roman" w:eastAsiaTheme="minorEastAsia" w:hAnsi="Times New Roman" w:cs="Times New Roman"/>
          <w:i/>
          <w:iCs/>
          <w:kern w:val="0"/>
          <w:sz w:val="24"/>
          <w:szCs w:val="24"/>
          <w:lang w:val="it-IT"/>
          <w14:ligatures w14:val="none"/>
        </w:rPr>
        <w:t xml:space="preserve"> </w:t>
      </w:r>
      <w:r w:rsidRPr="00B8014B">
        <w:rPr>
          <w:rFonts w:ascii="Times New Roman" w:eastAsiaTheme="minorEastAsia" w:hAnsi="Times New Roman" w:cs="Times New Roman"/>
          <w:i/>
          <w:iCs/>
          <w:kern w:val="0"/>
          <w:sz w:val="24"/>
          <w:szCs w:val="24"/>
          <w:lang w:val="it-IT"/>
          <w14:ligatures w14:val="none"/>
        </w:rPr>
        <w:t>tal-fond fi tnejn b’għeluq li jsir bil-gypsum boards.</w:t>
      </w:r>
    </w:p>
    <w:p w14:paraId="1CB08506" w14:textId="77777777" w:rsidR="00CA335E" w:rsidRPr="00CA335E" w:rsidRDefault="00B8014B" w:rsidP="00B8014B">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B8014B">
        <w:rPr>
          <w:rFonts w:ascii="Times New Roman" w:eastAsiaTheme="minorEastAsia" w:hAnsi="Times New Roman" w:cs="Times New Roman"/>
          <w:i/>
          <w:iCs/>
          <w:kern w:val="0"/>
          <w:sz w:val="24"/>
          <w:szCs w:val="24"/>
          <w:lang w:val="it-IT"/>
          <w14:ligatures w14:val="none"/>
        </w:rPr>
        <w:t>U għalhekk abbażi ta’ din l-applikazzjoni, x-xogħlijiet ta’ kostruzzjoni kienu limitati biss</w:t>
      </w:r>
      <w:r>
        <w:rPr>
          <w:rFonts w:ascii="Times New Roman" w:eastAsiaTheme="minorEastAsia" w:hAnsi="Times New Roman" w:cs="Times New Roman"/>
          <w:i/>
          <w:iCs/>
          <w:kern w:val="0"/>
          <w:sz w:val="24"/>
          <w:szCs w:val="24"/>
          <w:lang w:val="it-IT"/>
          <w14:ligatures w14:val="none"/>
        </w:rPr>
        <w:t xml:space="preserve"> </w:t>
      </w:r>
      <w:r w:rsidRPr="00B8014B">
        <w:rPr>
          <w:rFonts w:ascii="Times New Roman" w:eastAsiaTheme="minorEastAsia" w:hAnsi="Times New Roman" w:cs="Times New Roman"/>
          <w:i/>
          <w:iCs/>
          <w:kern w:val="0"/>
          <w:sz w:val="24"/>
          <w:szCs w:val="24"/>
          <w:lang w:val="it-IT"/>
          <w14:ligatures w14:val="none"/>
        </w:rPr>
        <w:t>għall-ftuħ u għeluq ta’ aperturi.</w:t>
      </w:r>
      <w:r>
        <w:rPr>
          <w:rFonts w:ascii="Times New Roman" w:eastAsiaTheme="minorEastAsia" w:hAnsi="Times New Roman" w:cs="Times New Roman"/>
          <w:kern w:val="0"/>
          <w:sz w:val="24"/>
          <w:szCs w:val="24"/>
          <w:lang w:val="it-IT"/>
          <w14:ligatures w14:val="none"/>
        </w:rPr>
        <w:t>”</w:t>
      </w:r>
      <w:r w:rsidR="00CA335E" w:rsidRPr="00CA335E">
        <w:rPr>
          <w:rFonts w:ascii="Times New Roman" w:eastAsiaTheme="minorEastAsia" w:hAnsi="Times New Roman" w:cs="Times New Roman"/>
          <w:kern w:val="0"/>
          <w:sz w:val="24"/>
          <w:szCs w:val="24"/>
          <w:lang w:val="it-IT"/>
          <w14:ligatures w14:val="none"/>
        </w:rPr>
        <w:t xml:space="preserve"> </w:t>
      </w:r>
    </w:p>
    <w:p w14:paraId="3AEC0ABA" w14:textId="77777777" w:rsidR="00CA335E"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p>
    <w:p w14:paraId="0C64495B" w14:textId="77777777" w:rsidR="00922838"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Illi</w:t>
      </w:r>
      <w:r w:rsidR="00922838">
        <w:rPr>
          <w:rFonts w:ascii="Times New Roman" w:eastAsiaTheme="minorEastAsia" w:hAnsi="Times New Roman" w:cs="Times New Roman"/>
          <w:kern w:val="0"/>
          <w:sz w:val="24"/>
          <w:szCs w:val="24"/>
          <w:lang w:val="it-IT"/>
          <w14:ligatures w14:val="none"/>
        </w:rPr>
        <w:t xml:space="preserve"> ghaldaqstant jispetta li</w:t>
      </w:r>
      <w:r w:rsidRPr="00CA335E">
        <w:rPr>
          <w:rFonts w:ascii="Times New Roman" w:eastAsiaTheme="minorEastAsia" w:hAnsi="Times New Roman" w:cs="Times New Roman"/>
          <w:kern w:val="0"/>
          <w:sz w:val="24"/>
          <w:szCs w:val="24"/>
          <w:lang w:val="it-IT"/>
          <w14:ligatures w14:val="none"/>
        </w:rPr>
        <w:t xml:space="preserve">t-Tribunal </w:t>
      </w:r>
      <w:r w:rsidR="00922838">
        <w:rPr>
          <w:rFonts w:ascii="Times New Roman" w:eastAsiaTheme="minorEastAsia" w:hAnsi="Times New Roman" w:cs="Times New Roman"/>
          <w:kern w:val="0"/>
          <w:sz w:val="24"/>
          <w:szCs w:val="24"/>
          <w:lang w:val="it-IT"/>
          <w14:ligatures w14:val="none"/>
        </w:rPr>
        <w:t xml:space="preserve">li jiddetermina jekk hux minnu jew le li tali xogholijiet li permezz taghhom apertura infethet u ohra inghalqet  kif riskontrati fuq il-post mill-ufficjali tal-Awtorita` u kif inhuma mertu tal-PA 6645/24, humiex ukoll regolati mil-LS 623.06. </w:t>
      </w:r>
    </w:p>
    <w:p w14:paraId="7E5EDBFB" w14:textId="77777777" w:rsidR="00922838" w:rsidRDefault="00922838" w:rsidP="00CA335E">
      <w:pPr>
        <w:spacing w:after="0" w:line="360" w:lineRule="auto"/>
        <w:jc w:val="both"/>
        <w:rPr>
          <w:rFonts w:ascii="Times New Roman" w:eastAsiaTheme="minorEastAsia" w:hAnsi="Times New Roman" w:cs="Times New Roman"/>
          <w:kern w:val="0"/>
          <w:sz w:val="24"/>
          <w:szCs w:val="24"/>
          <w:lang w:val="it-IT"/>
          <w14:ligatures w14:val="none"/>
        </w:rPr>
      </w:pPr>
    </w:p>
    <w:p w14:paraId="182A27AB" w14:textId="50C45D5B" w:rsidR="00CA335E" w:rsidRPr="00CA335E"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r w:rsidRPr="00CA335E">
        <w:rPr>
          <w:rFonts w:ascii="Times New Roman" w:eastAsiaTheme="minorEastAsia" w:hAnsi="Times New Roman" w:cs="Times New Roman"/>
          <w:kern w:val="0"/>
          <w:sz w:val="24"/>
          <w:szCs w:val="24"/>
          <w:lang w:val="it-IT"/>
          <w14:ligatures w14:val="none"/>
        </w:rPr>
        <w:t xml:space="preserve">Illi f’tali rigward ghandu jigi nutat li </w:t>
      </w:r>
      <w:bookmarkStart w:id="0" w:name="_Hlk191911221"/>
      <w:r w:rsidRPr="00CA335E">
        <w:rPr>
          <w:rFonts w:ascii="Times New Roman" w:eastAsiaTheme="minorEastAsia" w:hAnsi="Times New Roman" w:cs="Times New Roman"/>
          <w:kern w:val="0"/>
          <w:sz w:val="24"/>
          <w:szCs w:val="24"/>
          <w:lang w:val="it-IT"/>
          <w14:ligatures w14:val="none"/>
        </w:rPr>
        <w:t xml:space="preserve">r-reg </w:t>
      </w:r>
      <w:r w:rsidR="00922838">
        <w:rPr>
          <w:rFonts w:ascii="Times New Roman" w:eastAsiaTheme="minorEastAsia" w:hAnsi="Times New Roman" w:cs="Times New Roman"/>
          <w:kern w:val="0"/>
          <w:sz w:val="24"/>
          <w:szCs w:val="24"/>
          <w:lang w:val="it-IT"/>
          <w14:ligatures w14:val="none"/>
        </w:rPr>
        <w:t xml:space="preserve"> </w:t>
      </w:r>
      <w:r w:rsidR="00CA0419">
        <w:rPr>
          <w:rFonts w:ascii="Times New Roman" w:eastAsiaTheme="minorEastAsia" w:hAnsi="Times New Roman" w:cs="Times New Roman"/>
          <w:kern w:val="0"/>
          <w:sz w:val="24"/>
          <w:szCs w:val="24"/>
          <w:lang w:val="it-IT"/>
          <w14:ligatures w14:val="none"/>
        </w:rPr>
        <w:t>2(1)</w:t>
      </w:r>
      <w:r w:rsidR="00922838">
        <w:rPr>
          <w:rFonts w:ascii="Times New Roman" w:eastAsiaTheme="minorEastAsia" w:hAnsi="Times New Roman" w:cs="Times New Roman"/>
          <w:kern w:val="0"/>
          <w:sz w:val="24"/>
          <w:szCs w:val="24"/>
          <w:lang w:val="it-IT"/>
          <w14:ligatures w14:val="none"/>
        </w:rPr>
        <w:t xml:space="preserve"> </w:t>
      </w:r>
      <w:r w:rsidRPr="00CA335E">
        <w:rPr>
          <w:rFonts w:ascii="Times New Roman" w:eastAsiaTheme="minorEastAsia" w:hAnsi="Times New Roman" w:cs="Times New Roman"/>
          <w:kern w:val="0"/>
          <w:sz w:val="24"/>
          <w:szCs w:val="24"/>
          <w:lang w:val="it-IT"/>
          <w14:ligatures w14:val="none"/>
        </w:rPr>
        <w:t xml:space="preserve"> tal-Sl. 623.06 kienu jipprovdi kjarament </w:t>
      </w:r>
      <w:r w:rsidR="00922838">
        <w:rPr>
          <w:rFonts w:ascii="Times New Roman" w:eastAsiaTheme="minorEastAsia" w:hAnsi="Times New Roman" w:cs="Times New Roman"/>
          <w:kern w:val="0"/>
          <w:sz w:val="24"/>
          <w:szCs w:val="24"/>
          <w:lang w:val="it-IT"/>
          <w14:ligatures w14:val="none"/>
        </w:rPr>
        <w:t>li l-iskop tal-istess Regolamenti huwa dak li jippr</w:t>
      </w:r>
      <w:r w:rsidR="00157A92">
        <w:rPr>
          <w:rFonts w:ascii="Times New Roman" w:eastAsiaTheme="minorEastAsia" w:hAnsi="Times New Roman" w:cs="Times New Roman"/>
          <w:kern w:val="0"/>
          <w:sz w:val="24"/>
          <w:szCs w:val="24"/>
          <w:lang w:val="it-IT"/>
          <w14:ligatures w14:val="none"/>
        </w:rPr>
        <w:t>ovdi</w:t>
      </w:r>
      <w:r w:rsidR="00922838">
        <w:rPr>
          <w:rFonts w:ascii="Times New Roman" w:eastAsiaTheme="minorEastAsia" w:hAnsi="Times New Roman" w:cs="Times New Roman"/>
          <w:kern w:val="0"/>
          <w:sz w:val="24"/>
          <w:szCs w:val="24"/>
          <w:lang w:val="it-IT"/>
          <w14:ligatures w14:val="none"/>
        </w:rPr>
        <w:t xml:space="preserve"> ghal mizuri intizi biex jimminimizzaw il-hsara lill-proprjeta` ta’ terzi jew korrimenti</w:t>
      </w:r>
      <w:r w:rsidR="00CA0419">
        <w:rPr>
          <w:rFonts w:ascii="Times New Roman" w:eastAsiaTheme="minorEastAsia" w:hAnsi="Times New Roman" w:cs="Times New Roman"/>
          <w:kern w:val="0"/>
          <w:sz w:val="24"/>
          <w:szCs w:val="24"/>
          <w:lang w:val="it-IT"/>
          <w14:ligatures w14:val="none"/>
        </w:rPr>
        <w:t xml:space="preserve"> kawza tax-xogholijiet</w:t>
      </w:r>
      <w:r w:rsidRPr="00CA335E">
        <w:rPr>
          <w:rFonts w:ascii="Times New Roman" w:eastAsiaTheme="minorEastAsia" w:hAnsi="Times New Roman" w:cs="Times New Roman"/>
          <w:kern w:val="0"/>
          <w:sz w:val="24"/>
          <w:szCs w:val="24"/>
          <w:lang w:val="it-IT"/>
          <w14:ligatures w14:val="none"/>
        </w:rPr>
        <w:t>:</w:t>
      </w:r>
    </w:p>
    <w:p w14:paraId="24408BC9" w14:textId="77777777" w:rsidR="00CA335E" w:rsidRPr="00CA335E"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p>
    <w:p w14:paraId="5B3F6E7E" w14:textId="22BD352E" w:rsidR="00CA335E" w:rsidRPr="00CA0419" w:rsidRDefault="00CA0419" w:rsidP="00CA0419">
      <w:pPr>
        <w:pStyle w:val="ListParagraph"/>
        <w:numPr>
          <w:ilvl w:val="0"/>
          <w:numId w:val="3"/>
        </w:numPr>
        <w:spacing w:after="0" w:line="360" w:lineRule="auto"/>
        <w:ind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L-iskop ta’ dawn ir-regolamenti hu li jassikuraw li qabel  ma  jinbeda  xi  tip  ta’  xogħol  ta’  demolizzjoni,  skavar  jew</w:t>
      </w:r>
      <w:r w:rsidR="009926D3">
        <w:rPr>
          <w:rFonts w:ascii="Times New Roman" w:eastAsiaTheme="minorEastAsia" w:hAnsi="Times New Roman" w:cs="Times New Roman"/>
          <w:i/>
          <w:iCs/>
          <w:kern w:val="0"/>
          <w:sz w:val="24"/>
          <w:szCs w:val="24"/>
          <w:lang w:val="it-IT"/>
          <w14:ligatures w14:val="none"/>
        </w:rPr>
        <w:t xml:space="preserve"> </w:t>
      </w:r>
      <w:r w:rsidRPr="00CA0419">
        <w:rPr>
          <w:rFonts w:ascii="Times New Roman" w:eastAsiaTheme="minorEastAsia" w:hAnsi="Times New Roman" w:cs="Times New Roman"/>
          <w:i/>
          <w:iCs/>
          <w:kern w:val="0"/>
          <w:sz w:val="24"/>
          <w:szCs w:val="24"/>
          <w:lang w:val="it-IT"/>
          <w14:ligatures w14:val="none"/>
        </w:rPr>
        <w:t xml:space="preserve">kostruzzjoni, jitħejjew metodoloġiji </w:t>
      </w:r>
      <w:r w:rsidRPr="00CA0419">
        <w:rPr>
          <w:rFonts w:ascii="Times New Roman" w:eastAsiaTheme="minorEastAsia" w:hAnsi="Times New Roman" w:cs="Times New Roman"/>
          <w:i/>
          <w:iCs/>
          <w:kern w:val="0"/>
          <w:sz w:val="24"/>
          <w:szCs w:val="24"/>
          <w:lang w:val="it-IT"/>
          <w14:ligatures w14:val="none"/>
        </w:rPr>
        <w:lastRenderedPageBreak/>
        <w:t xml:space="preserve">li huma teknikament siguri sabiex jiġi  minimizzat  ir-riskju  ta’  ħsara  lil  proprjetà  ta’  terzi  persuni  jew korriment lil persuni li jistgħu jiġu kkawżati mix-xogħlijiet proposti. </w:t>
      </w:r>
    </w:p>
    <w:p w14:paraId="2B7EB4C3" w14:textId="77777777" w:rsidR="00CA0419" w:rsidRDefault="00CA0419" w:rsidP="00CA0419">
      <w:pPr>
        <w:spacing w:after="0" w:line="360" w:lineRule="auto"/>
        <w:ind w:right="521"/>
        <w:jc w:val="both"/>
        <w:rPr>
          <w:rFonts w:ascii="Times New Roman" w:eastAsiaTheme="minorEastAsia" w:hAnsi="Times New Roman" w:cs="Times New Roman"/>
          <w:kern w:val="0"/>
          <w:sz w:val="24"/>
          <w:szCs w:val="24"/>
          <w:lang w:val="it-IT"/>
          <w14:ligatures w14:val="none"/>
        </w:rPr>
      </w:pPr>
    </w:p>
    <w:p w14:paraId="36E96047" w14:textId="77777777" w:rsidR="00CA0419" w:rsidRDefault="00CA0419" w:rsidP="00CA0419">
      <w:pPr>
        <w:spacing w:after="0" w:line="360" w:lineRule="auto"/>
        <w:ind w:right="-46"/>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L-istess Regolament, filwaqt li mill-ewwel jillimita l-effett tar-Regolamenti ghal xogholijiet ta’ demolizzjoni, skavar jew kostruzzjoni ikompli jipprovdi wkoll, fit-tieni dispost tieghu:</w:t>
      </w:r>
    </w:p>
    <w:p w14:paraId="321F498D" w14:textId="77777777" w:rsidR="00CA0419" w:rsidRDefault="00CA0419" w:rsidP="00CA0419">
      <w:pPr>
        <w:spacing w:after="0" w:line="360" w:lineRule="auto"/>
        <w:ind w:right="521"/>
        <w:jc w:val="both"/>
        <w:rPr>
          <w:rFonts w:ascii="Times New Roman" w:eastAsiaTheme="minorEastAsia" w:hAnsi="Times New Roman" w:cs="Times New Roman"/>
          <w:kern w:val="0"/>
          <w:sz w:val="24"/>
          <w:szCs w:val="24"/>
          <w:lang w:val="it-IT"/>
          <w14:ligatures w14:val="none"/>
        </w:rPr>
      </w:pPr>
    </w:p>
    <w:p w14:paraId="7555842E" w14:textId="7D95D4A4" w:rsidR="00CA0419" w:rsidRPr="00CA0419" w:rsidRDefault="00CA0419" w:rsidP="00CA0419">
      <w:pPr>
        <w:spacing w:after="0" w:line="360" w:lineRule="auto"/>
        <w:ind w:left="993"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(2)   Id-dispożizzjonijiet ta’</w:t>
      </w:r>
      <w:r w:rsidR="00B82079">
        <w:rPr>
          <w:rFonts w:ascii="Times New Roman" w:eastAsiaTheme="minorEastAsia" w:hAnsi="Times New Roman" w:cs="Times New Roman"/>
          <w:i/>
          <w:iCs/>
          <w:kern w:val="0"/>
          <w:sz w:val="24"/>
          <w:szCs w:val="24"/>
          <w:lang w:val="it-IT"/>
          <w14:ligatures w14:val="none"/>
        </w:rPr>
        <w:t xml:space="preserve"> </w:t>
      </w:r>
      <w:r w:rsidRPr="00CA0419">
        <w:rPr>
          <w:rFonts w:ascii="Times New Roman" w:eastAsiaTheme="minorEastAsia" w:hAnsi="Times New Roman" w:cs="Times New Roman"/>
          <w:i/>
          <w:iCs/>
          <w:kern w:val="0"/>
          <w:sz w:val="24"/>
          <w:szCs w:val="24"/>
          <w:lang w:val="it-IT"/>
          <w14:ligatures w14:val="none"/>
        </w:rPr>
        <w:t>dawn</w:t>
      </w:r>
      <w:r w:rsidR="00B82079">
        <w:rPr>
          <w:rFonts w:ascii="Times New Roman" w:eastAsiaTheme="minorEastAsia" w:hAnsi="Times New Roman" w:cs="Times New Roman"/>
          <w:i/>
          <w:iCs/>
          <w:kern w:val="0"/>
          <w:sz w:val="24"/>
          <w:szCs w:val="24"/>
          <w:lang w:val="it-IT"/>
          <w14:ligatures w14:val="none"/>
        </w:rPr>
        <w:t xml:space="preserve"> i</w:t>
      </w:r>
      <w:r w:rsidRPr="00CA0419">
        <w:rPr>
          <w:rFonts w:ascii="Times New Roman" w:eastAsiaTheme="minorEastAsia" w:hAnsi="Times New Roman" w:cs="Times New Roman"/>
          <w:i/>
          <w:iCs/>
          <w:kern w:val="0"/>
          <w:sz w:val="24"/>
          <w:szCs w:val="24"/>
          <w:lang w:val="it-IT"/>
          <w14:ligatures w14:val="none"/>
        </w:rPr>
        <w:t xml:space="preserve">r-regolamenti m’għandhom bl-ebda mod jinftiehmu li għandhom xi effett fuq ir-responsabbiltajiet  relatati  mad-disinn  tal-bini  u  l-attività  tal-kostruzzjoni li jirriżultaw minn strumenti leġiżlattivi oħra. </w:t>
      </w:r>
    </w:p>
    <w:p w14:paraId="398DF7AE" w14:textId="77777777" w:rsidR="00716B08" w:rsidRDefault="00CA0419" w:rsidP="00CA0419">
      <w:pPr>
        <w:spacing w:after="0" w:line="360" w:lineRule="auto"/>
        <w:ind w:right="521"/>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 </w:t>
      </w:r>
    </w:p>
    <w:p w14:paraId="6CBCD05E" w14:textId="13FFE830" w:rsidR="00CA0419" w:rsidRDefault="00CA0419" w:rsidP="00CA0419">
      <w:pPr>
        <w:spacing w:after="0" w:line="360" w:lineRule="auto"/>
        <w:ind w:right="521"/>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Ir-Regolament 4 tal-istess LS 623.06 jipprovdi </w:t>
      </w:r>
      <w:r w:rsidR="00B82079">
        <w:rPr>
          <w:rFonts w:ascii="Times New Roman" w:eastAsiaTheme="minorEastAsia" w:hAnsi="Times New Roman" w:cs="Times New Roman"/>
          <w:kern w:val="0"/>
          <w:sz w:val="24"/>
          <w:szCs w:val="24"/>
          <w:lang w:val="it-IT"/>
          <w14:ligatures w14:val="none"/>
        </w:rPr>
        <w:t xml:space="preserve">wkoll </w:t>
      </w:r>
      <w:r>
        <w:rPr>
          <w:rFonts w:ascii="Times New Roman" w:eastAsiaTheme="minorEastAsia" w:hAnsi="Times New Roman" w:cs="Times New Roman"/>
          <w:kern w:val="0"/>
          <w:sz w:val="24"/>
          <w:szCs w:val="24"/>
          <w:lang w:val="it-IT"/>
          <w14:ligatures w14:val="none"/>
        </w:rPr>
        <w:t>testwalment li:</w:t>
      </w:r>
    </w:p>
    <w:p w14:paraId="2292A980" w14:textId="77777777" w:rsidR="00CA0419" w:rsidRDefault="00CA0419" w:rsidP="00CA0419">
      <w:pPr>
        <w:spacing w:after="0" w:line="360" w:lineRule="auto"/>
        <w:ind w:right="521"/>
        <w:jc w:val="both"/>
        <w:rPr>
          <w:rFonts w:ascii="Times New Roman" w:eastAsiaTheme="minorEastAsia" w:hAnsi="Times New Roman" w:cs="Times New Roman"/>
          <w:kern w:val="0"/>
          <w:sz w:val="24"/>
          <w:szCs w:val="24"/>
          <w:lang w:val="it-IT"/>
          <w14:ligatures w14:val="none"/>
        </w:rPr>
      </w:pPr>
    </w:p>
    <w:p w14:paraId="6F7D5702" w14:textId="77777777" w:rsidR="00CA0419" w:rsidRDefault="00CA0419" w:rsidP="009E382A">
      <w:pPr>
        <w:spacing w:after="0" w:line="360" w:lineRule="auto"/>
        <w:ind w:left="993"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Dawn ir-regolamenti huma applikabbli għal kwalunkwe xogħol ta’ kostruzzjoni li jinvolvi:</w:t>
      </w:r>
    </w:p>
    <w:p w14:paraId="367FDAD1" w14:textId="77777777" w:rsidR="00CA0419" w:rsidRDefault="00CA0419" w:rsidP="009E382A">
      <w:pPr>
        <w:spacing w:after="0" w:line="360" w:lineRule="auto"/>
        <w:ind w:left="993"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(a)  skavar,  li  fiż-żona  affettwata  tiegħu  jinkludi proprjetà ta’ terzi; jew</w:t>
      </w:r>
    </w:p>
    <w:p w14:paraId="61FA5DC3" w14:textId="77777777" w:rsidR="00CA0419" w:rsidRDefault="00CA0419" w:rsidP="009E382A">
      <w:pPr>
        <w:spacing w:after="0" w:line="360" w:lineRule="auto"/>
        <w:ind w:left="993"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(b)  id-demolizzjoni  jew  tneħħija  ta’  kull  struttura eżistenti,  jew  bejt  jew  struttura  li  tmiss  mal-limiti  ta’,  jew biswit eżatt ta’, jew sottostanti jew sovrastanti xi proprjetà ta’ jew okkupata minn terzi persuni jew xogħol ta’ ingaljar ma bini eżistenti; jew</w:t>
      </w:r>
    </w:p>
    <w:p w14:paraId="5CEBF9E0" w14:textId="77777777" w:rsidR="00CA0419" w:rsidRDefault="00CA0419" w:rsidP="009E382A">
      <w:pPr>
        <w:spacing w:after="0" w:line="360" w:lineRule="auto"/>
        <w:ind w:left="993"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(ċ)  il-bini ta’ sulari addizzjonali jew ħitan ta’ sapport jew  strutturi  fuq  xi  proprjetà  ta’  jew  okkupata  minn  terzi persuni; jew</w:t>
      </w:r>
    </w:p>
    <w:p w14:paraId="63DDDFC3" w14:textId="77777777" w:rsidR="00CA0419" w:rsidRPr="00CA0419" w:rsidRDefault="00CA0419" w:rsidP="009E382A">
      <w:pPr>
        <w:spacing w:after="0" w:line="360" w:lineRule="auto"/>
        <w:ind w:left="993" w:right="521"/>
        <w:jc w:val="both"/>
        <w:rPr>
          <w:rFonts w:ascii="Times New Roman" w:eastAsiaTheme="minorEastAsia" w:hAnsi="Times New Roman" w:cs="Times New Roman"/>
          <w:i/>
          <w:iCs/>
          <w:kern w:val="0"/>
          <w:sz w:val="24"/>
          <w:szCs w:val="24"/>
          <w:lang w:val="it-IT"/>
          <w14:ligatures w14:val="none"/>
        </w:rPr>
      </w:pPr>
      <w:r w:rsidRPr="00CA0419">
        <w:rPr>
          <w:rFonts w:ascii="Times New Roman" w:eastAsiaTheme="minorEastAsia" w:hAnsi="Times New Roman" w:cs="Times New Roman"/>
          <w:i/>
          <w:iCs/>
          <w:kern w:val="0"/>
          <w:sz w:val="24"/>
          <w:szCs w:val="24"/>
          <w:lang w:val="it-IT"/>
          <w14:ligatures w14:val="none"/>
        </w:rPr>
        <w:t>(d)  il-kostruzzjoni  ta’  bini  ġdid  jew  sulari addizzjonali biswit proprjetà eżistenti ta’ terzi persuni.</w:t>
      </w:r>
    </w:p>
    <w:p w14:paraId="51DE306D" w14:textId="77777777" w:rsidR="00CA335E"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p>
    <w:p w14:paraId="25BDB4CD" w14:textId="76CBD41E" w:rsidR="005E1BB1" w:rsidRDefault="005E1BB1" w:rsidP="00CA335E">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Il-korrollarju tas-surreferit huwa li kull xoghol iehor li ma jinkwadrax taht ir-Reg 4 huwa ezenti mill-istess LS.</w:t>
      </w:r>
    </w:p>
    <w:p w14:paraId="53DC4D80" w14:textId="77777777" w:rsidR="0033757D" w:rsidRPr="00CA335E" w:rsidRDefault="0033757D" w:rsidP="00CA335E">
      <w:pPr>
        <w:spacing w:after="0" w:line="360" w:lineRule="auto"/>
        <w:jc w:val="both"/>
        <w:rPr>
          <w:rFonts w:ascii="Times New Roman" w:eastAsiaTheme="minorEastAsia" w:hAnsi="Times New Roman" w:cs="Times New Roman"/>
          <w:kern w:val="0"/>
          <w:sz w:val="24"/>
          <w:szCs w:val="24"/>
          <w:lang w:val="it-IT"/>
          <w14:ligatures w14:val="none"/>
        </w:rPr>
      </w:pPr>
    </w:p>
    <w:p w14:paraId="53F4B7B6" w14:textId="77777777" w:rsidR="001D346E" w:rsidRDefault="001D346E" w:rsidP="00CA335E">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Jidher ukoll li anke skont il-Linji Gwida mahrugin mill-Kampra tal-Periti, tibdil minuri intern li ma jirrigwardjax strutturi li jgorru piz (</w:t>
      </w:r>
      <w:r w:rsidRPr="0033757D">
        <w:rPr>
          <w:rFonts w:ascii="Times New Roman" w:eastAsiaTheme="minorEastAsia" w:hAnsi="Times New Roman" w:cs="Times New Roman"/>
          <w:i/>
          <w:iCs/>
          <w:kern w:val="0"/>
          <w:sz w:val="24"/>
          <w:szCs w:val="24"/>
          <w:lang w:val="it-IT"/>
          <w14:ligatures w14:val="none"/>
        </w:rPr>
        <w:t>load bearing structures</w:t>
      </w:r>
      <w:r>
        <w:rPr>
          <w:rFonts w:ascii="Times New Roman" w:eastAsiaTheme="minorEastAsia" w:hAnsi="Times New Roman" w:cs="Times New Roman"/>
          <w:kern w:val="0"/>
          <w:sz w:val="24"/>
          <w:szCs w:val="24"/>
          <w:lang w:val="it-IT"/>
          <w14:ligatures w14:val="none"/>
        </w:rPr>
        <w:t xml:space="preserve">) ghandhom jigu kkunsidrati bhala eskluzi mil-lista surreferita tant illi lanqas m’huwa mehtieg ghalihom xi ezenzjoni specifika taht ir-Reg 26: </w:t>
      </w:r>
    </w:p>
    <w:p w14:paraId="6E38B375" w14:textId="77777777" w:rsidR="001D346E" w:rsidRDefault="001D346E" w:rsidP="00CA335E">
      <w:pPr>
        <w:spacing w:after="0" w:line="360" w:lineRule="auto"/>
        <w:jc w:val="both"/>
        <w:rPr>
          <w:rFonts w:ascii="Times New Roman" w:eastAsiaTheme="minorEastAsia" w:hAnsi="Times New Roman" w:cs="Times New Roman"/>
          <w:kern w:val="0"/>
          <w:sz w:val="24"/>
          <w:szCs w:val="24"/>
          <w:lang w:val="it-IT"/>
          <w14:ligatures w14:val="none"/>
        </w:rPr>
      </w:pPr>
    </w:p>
    <w:p w14:paraId="10497064" w14:textId="77777777" w:rsidR="001D346E" w:rsidRPr="001D346E" w:rsidRDefault="001D346E" w:rsidP="001D346E">
      <w:pPr>
        <w:spacing w:after="0" w:line="360" w:lineRule="auto"/>
        <w:ind w:left="567" w:right="521"/>
        <w:jc w:val="both"/>
        <w:rPr>
          <w:rFonts w:ascii="Times New Roman" w:eastAsiaTheme="minorEastAsia" w:hAnsi="Times New Roman" w:cs="Times New Roman"/>
          <w:b/>
          <w:bCs/>
          <w:i/>
          <w:iCs/>
          <w:kern w:val="0"/>
          <w:sz w:val="24"/>
          <w:szCs w:val="24"/>
          <w:lang w:val="it-IT"/>
          <w14:ligatures w14:val="none"/>
        </w:rPr>
      </w:pPr>
      <w:r w:rsidRPr="001D346E">
        <w:rPr>
          <w:rFonts w:ascii="Times New Roman" w:eastAsiaTheme="minorEastAsia" w:hAnsi="Times New Roman" w:cs="Times New Roman"/>
          <w:b/>
          <w:bCs/>
          <w:i/>
          <w:iCs/>
          <w:kern w:val="0"/>
          <w:sz w:val="24"/>
          <w:szCs w:val="24"/>
          <w:lang w:val="it-IT"/>
          <w14:ligatures w14:val="none"/>
        </w:rPr>
        <w:lastRenderedPageBreak/>
        <w:t>Declaration in terms of Regulation 4 of the Legal Notice</w:t>
      </w:r>
    </w:p>
    <w:p w14:paraId="6C695A8E"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This declaration is to be submitted for all projects which do not fall under the requirements of the Legal Notice in the sense that they do not include any of the activities listed in Regulation 4. Typical examples could include:</w:t>
      </w:r>
    </w:p>
    <w:p w14:paraId="20C3FC90"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19BCE746"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Change of use;</w:t>
      </w:r>
    </w:p>
    <w:p w14:paraId="7F011C6D"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Fixing of signage;</w:t>
      </w:r>
    </w:p>
    <w:p w14:paraId="68AC840C"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Façade restoration works including replacement of external apertures;</w:t>
      </w:r>
    </w:p>
    <w:p w14:paraId="3D52A357"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b/>
          <w:bCs/>
          <w:i/>
          <w:iCs/>
          <w:kern w:val="0"/>
          <w:sz w:val="24"/>
          <w:szCs w:val="24"/>
          <w:u w:val="single"/>
          <w:lang w:val="it-IT"/>
          <w14:ligatures w14:val="none"/>
        </w:rPr>
        <w:t>Internal alterations relating to non-loadbearing structures;</w:t>
      </w:r>
      <w:r w:rsidRPr="001D346E">
        <w:rPr>
          <w:rFonts w:ascii="Times New Roman" w:eastAsiaTheme="minorEastAsia" w:hAnsi="Times New Roman" w:cs="Times New Roman"/>
          <w:i/>
          <w:iCs/>
          <w:kern w:val="0"/>
          <w:sz w:val="24"/>
          <w:szCs w:val="24"/>
          <w:lang w:val="it-IT"/>
          <w14:ligatures w14:val="none"/>
        </w:rPr>
        <w:t xml:space="preserve"> or</w:t>
      </w:r>
    </w:p>
    <w:p w14:paraId="2651186C"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Excavation, demolition or construction works where there are no adjacent third parties.</w:t>
      </w:r>
    </w:p>
    <w:p w14:paraId="1022BC95"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1FA94F56"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This declaration must always be made, unless the works fall under Regulation 4, in which case the other forms outlined below are to be used.</w:t>
      </w:r>
    </w:p>
    <w:p w14:paraId="3D555A5A" w14:textId="77777777" w:rsidR="001D346E" w:rsidRPr="001D346E" w:rsidRDefault="001D346E" w:rsidP="001D346E">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0E780CCF" w14:textId="77777777" w:rsidR="001D346E" w:rsidRPr="001D346E" w:rsidRDefault="001D346E" w:rsidP="001D346E">
      <w:pPr>
        <w:spacing w:after="0" w:line="360" w:lineRule="auto"/>
        <w:ind w:left="567" w:right="521"/>
        <w:jc w:val="both"/>
        <w:rPr>
          <w:rFonts w:ascii="Times New Roman" w:eastAsiaTheme="minorEastAsia" w:hAnsi="Times New Roman" w:cs="Times New Roman"/>
          <w:b/>
          <w:bCs/>
          <w:i/>
          <w:iCs/>
          <w:kern w:val="0"/>
          <w:sz w:val="24"/>
          <w:szCs w:val="24"/>
          <w:lang w:val="it-IT"/>
          <w14:ligatures w14:val="none"/>
        </w:rPr>
      </w:pPr>
      <w:r w:rsidRPr="001D346E">
        <w:rPr>
          <w:rFonts w:ascii="Times New Roman" w:eastAsiaTheme="minorEastAsia" w:hAnsi="Times New Roman" w:cs="Times New Roman"/>
          <w:b/>
          <w:bCs/>
          <w:i/>
          <w:iCs/>
          <w:kern w:val="0"/>
          <w:sz w:val="24"/>
          <w:szCs w:val="24"/>
          <w:lang w:val="it-IT"/>
          <w14:ligatures w14:val="none"/>
        </w:rPr>
        <w:t>Declaration in terms of Regulation 26 of the Legal Notice</w:t>
      </w:r>
    </w:p>
    <w:p w14:paraId="2E901A12" w14:textId="77777777" w:rsidR="001D346E" w:rsidRDefault="001D346E" w:rsidP="001D346E">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1D346E">
        <w:rPr>
          <w:rFonts w:ascii="Times New Roman" w:eastAsiaTheme="minorEastAsia" w:hAnsi="Times New Roman" w:cs="Times New Roman"/>
          <w:i/>
          <w:iCs/>
          <w:kern w:val="0"/>
          <w:sz w:val="24"/>
          <w:szCs w:val="24"/>
          <w:lang w:val="it-IT"/>
          <w14:ligatures w14:val="none"/>
        </w:rPr>
        <w:t>The declaration in terms of Regulation 26 is to be used when the works are contemplated in Regulation 4 but, in your professional opinion, the “structural interventions will not affect third party property</w:t>
      </w:r>
      <w:r>
        <w:rPr>
          <w:rFonts w:ascii="Times New Roman" w:eastAsiaTheme="minorEastAsia" w:hAnsi="Times New Roman" w:cs="Times New Roman"/>
          <w:kern w:val="0"/>
          <w:sz w:val="24"/>
          <w:szCs w:val="24"/>
          <w:lang w:val="it-IT"/>
          <w14:ligatures w14:val="none"/>
        </w:rPr>
        <w:t>”</w:t>
      </w:r>
      <w:r w:rsidRPr="001D346E">
        <w:rPr>
          <w:rFonts w:ascii="Times New Roman" w:eastAsiaTheme="minorEastAsia" w:hAnsi="Times New Roman" w:cs="Times New Roman"/>
          <w:kern w:val="0"/>
          <w:sz w:val="24"/>
          <w:szCs w:val="24"/>
          <w:lang w:val="it-IT"/>
          <w14:ligatures w14:val="none"/>
        </w:rPr>
        <w:t>.</w:t>
      </w:r>
      <w:r>
        <w:rPr>
          <w:rFonts w:ascii="Times New Roman" w:eastAsiaTheme="minorEastAsia" w:hAnsi="Times New Roman" w:cs="Times New Roman"/>
          <w:kern w:val="0"/>
          <w:sz w:val="24"/>
          <w:szCs w:val="24"/>
          <w:lang w:val="it-IT"/>
          <w14:ligatures w14:val="none"/>
        </w:rPr>
        <w:t xml:space="preserve"> (</w:t>
      </w:r>
      <w:r>
        <w:rPr>
          <w:rFonts w:ascii="Times New Roman" w:eastAsiaTheme="minorEastAsia" w:hAnsi="Times New Roman" w:cs="Times New Roman"/>
          <w:kern w:val="0"/>
          <w:sz w:val="24"/>
          <w:szCs w:val="24"/>
          <w:lang w:val="it-IT"/>
          <w14:ligatures w14:val="none"/>
        </w:rPr>
        <w:fldChar w:fldCharType="begin"/>
      </w:r>
      <w:r>
        <w:rPr>
          <w:rFonts w:ascii="Times New Roman" w:eastAsiaTheme="minorEastAsia" w:hAnsi="Times New Roman" w:cs="Times New Roman"/>
          <w:kern w:val="0"/>
          <w:sz w:val="24"/>
          <w:szCs w:val="24"/>
          <w:lang w:val="it-IT"/>
          <w14:ligatures w14:val="none"/>
        </w:rPr>
        <w:instrText>HYPERLINK "</w:instrText>
      </w:r>
      <w:r w:rsidRPr="001D346E">
        <w:rPr>
          <w:rFonts w:ascii="Times New Roman" w:eastAsiaTheme="minorEastAsia" w:hAnsi="Times New Roman" w:cs="Times New Roman"/>
          <w:kern w:val="0"/>
          <w:sz w:val="24"/>
          <w:szCs w:val="24"/>
          <w:lang w:val="it-IT"/>
          <w14:ligatures w14:val="none"/>
        </w:rPr>
        <w:instrText>https://kamratalperiti.org/cir-09-19-further-updates-on-legal-notice-136-of-2019/</w:instrText>
      </w:r>
      <w:r>
        <w:rPr>
          <w:rFonts w:ascii="Times New Roman" w:eastAsiaTheme="minorEastAsia" w:hAnsi="Times New Roman" w:cs="Times New Roman"/>
          <w:kern w:val="0"/>
          <w:sz w:val="24"/>
          <w:szCs w:val="24"/>
          <w:lang w:val="it-IT"/>
          <w14:ligatures w14:val="none"/>
        </w:rPr>
        <w:instrText>"</w:instrText>
      </w:r>
      <w:r>
        <w:rPr>
          <w:rFonts w:ascii="Times New Roman" w:eastAsiaTheme="minorEastAsia" w:hAnsi="Times New Roman" w:cs="Times New Roman"/>
          <w:kern w:val="0"/>
          <w:sz w:val="24"/>
          <w:szCs w:val="24"/>
          <w:lang w:val="it-IT"/>
          <w14:ligatures w14:val="none"/>
        </w:rPr>
      </w:r>
      <w:r>
        <w:rPr>
          <w:rFonts w:ascii="Times New Roman" w:eastAsiaTheme="minorEastAsia" w:hAnsi="Times New Roman" w:cs="Times New Roman"/>
          <w:kern w:val="0"/>
          <w:sz w:val="24"/>
          <w:szCs w:val="24"/>
          <w:lang w:val="it-IT"/>
          <w14:ligatures w14:val="none"/>
        </w:rPr>
        <w:fldChar w:fldCharType="separate"/>
      </w:r>
      <w:r w:rsidRPr="002352D3">
        <w:rPr>
          <w:rStyle w:val="Hyperlink"/>
          <w:rFonts w:ascii="Times New Roman" w:eastAsiaTheme="minorEastAsia" w:hAnsi="Times New Roman" w:cs="Times New Roman"/>
          <w:kern w:val="0"/>
          <w:sz w:val="24"/>
          <w:szCs w:val="24"/>
          <w:lang w:val="it-IT"/>
          <w14:ligatures w14:val="none"/>
        </w:rPr>
        <w:t>https://kamratalperiti.org/cir-09-19-further-updates-on-legal-notice-136-of-2019/</w:t>
      </w:r>
      <w:r>
        <w:rPr>
          <w:rFonts w:ascii="Times New Roman" w:eastAsiaTheme="minorEastAsia" w:hAnsi="Times New Roman" w:cs="Times New Roman"/>
          <w:kern w:val="0"/>
          <w:sz w:val="24"/>
          <w:szCs w:val="24"/>
          <w:lang w:val="it-IT"/>
          <w14:ligatures w14:val="none"/>
        </w:rPr>
        <w:fldChar w:fldCharType="end"/>
      </w:r>
      <w:r>
        <w:rPr>
          <w:rFonts w:ascii="Times New Roman" w:eastAsiaTheme="minorEastAsia" w:hAnsi="Times New Roman" w:cs="Times New Roman"/>
          <w:kern w:val="0"/>
          <w:sz w:val="24"/>
          <w:szCs w:val="24"/>
          <w:lang w:val="it-IT"/>
          <w14:ligatures w14:val="none"/>
        </w:rPr>
        <w:t xml:space="preserve"> enfazi mizjuda)</w:t>
      </w:r>
    </w:p>
    <w:p w14:paraId="6944F935" w14:textId="77777777" w:rsidR="001D346E" w:rsidRDefault="001D346E" w:rsidP="001D346E">
      <w:pPr>
        <w:spacing w:after="0" w:line="360" w:lineRule="auto"/>
        <w:jc w:val="both"/>
        <w:rPr>
          <w:rFonts w:ascii="Times New Roman" w:eastAsiaTheme="minorEastAsia" w:hAnsi="Times New Roman" w:cs="Times New Roman"/>
          <w:kern w:val="0"/>
          <w:sz w:val="24"/>
          <w:szCs w:val="24"/>
          <w:lang w:val="it-IT"/>
          <w14:ligatures w14:val="none"/>
        </w:rPr>
      </w:pPr>
    </w:p>
    <w:p w14:paraId="3FDABEC8" w14:textId="1E44BCF1" w:rsidR="00CA335E" w:rsidRPr="00CA335E" w:rsidRDefault="0067321A" w:rsidP="00553A5D">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t xml:space="preserve">Fil-kaz odjern huwa inkontestat li x-xogholijiet la </w:t>
      </w:r>
      <w:r w:rsidR="00FC199A">
        <w:rPr>
          <w:rFonts w:ascii="Times New Roman" w:eastAsiaTheme="minorEastAsia" w:hAnsi="Times New Roman" w:cs="Times New Roman"/>
          <w:kern w:val="0"/>
          <w:sz w:val="24"/>
          <w:szCs w:val="24"/>
          <w:lang w:val="it-IT"/>
          <w14:ligatures w14:val="none"/>
        </w:rPr>
        <w:t xml:space="preserve">jikkostitwixxu skavar, lanqas demolizzjoni u lanqas kostruzzjoni </w:t>
      </w:r>
      <w:r w:rsidR="00600E3C">
        <w:rPr>
          <w:rFonts w:ascii="Times New Roman" w:eastAsiaTheme="minorEastAsia" w:hAnsi="Times New Roman" w:cs="Times New Roman"/>
          <w:kern w:val="0"/>
          <w:sz w:val="24"/>
          <w:szCs w:val="24"/>
          <w:lang w:val="it-IT"/>
          <w14:ligatures w14:val="none"/>
        </w:rPr>
        <w:t xml:space="preserve">ta’ bini </w:t>
      </w:r>
      <w:r w:rsidR="00C613C6">
        <w:rPr>
          <w:rFonts w:ascii="Times New Roman" w:eastAsiaTheme="minorEastAsia" w:hAnsi="Times New Roman" w:cs="Times New Roman"/>
          <w:kern w:val="0"/>
          <w:sz w:val="24"/>
          <w:szCs w:val="24"/>
          <w:lang w:val="it-IT"/>
          <w14:ligatures w14:val="none"/>
        </w:rPr>
        <w:t xml:space="preserve">imma biss </w:t>
      </w:r>
      <w:r w:rsidR="00345799">
        <w:rPr>
          <w:rFonts w:ascii="Times New Roman" w:eastAsiaTheme="minorEastAsia" w:hAnsi="Times New Roman" w:cs="Times New Roman"/>
          <w:kern w:val="0"/>
          <w:sz w:val="24"/>
          <w:szCs w:val="24"/>
          <w:lang w:val="it-IT"/>
          <w14:ligatures w14:val="none"/>
        </w:rPr>
        <w:t xml:space="preserve">alterazzjonijiet interni ossija </w:t>
      </w:r>
      <w:r w:rsidR="00FC199A">
        <w:rPr>
          <w:rFonts w:ascii="Times New Roman" w:eastAsiaTheme="minorEastAsia" w:hAnsi="Times New Roman" w:cs="Times New Roman"/>
          <w:kern w:val="0"/>
          <w:sz w:val="24"/>
          <w:szCs w:val="24"/>
          <w:lang w:val="it-IT"/>
          <w14:ligatures w14:val="none"/>
        </w:rPr>
        <w:t xml:space="preserve">caqlieq ta’ aperturi </w:t>
      </w:r>
      <w:r w:rsidR="007D3EA2">
        <w:rPr>
          <w:rFonts w:ascii="Times New Roman" w:eastAsiaTheme="minorEastAsia" w:hAnsi="Times New Roman" w:cs="Times New Roman"/>
          <w:kern w:val="0"/>
          <w:sz w:val="24"/>
          <w:szCs w:val="24"/>
          <w:lang w:val="it-IT"/>
          <w14:ligatures w14:val="none"/>
        </w:rPr>
        <w:t>bil-ftuh</w:t>
      </w:r>
      <w:r w:rsidR="00C613C6">
        <w:rPr>
          <w:rFonts w:ascii="Times New Roman" w:eastAsiaTheme="minorEastAsia" w:hAnsi="Times New Roman" w:cs="Times New Roman"/>
          <w:kern w:val="0"/>
          <w:sz w:val="24"/>
          <w:szCs w:val="24"/>
          <w:lang w:val="it-IT"/>
          <w14:ligatures w14:val="none"/>
        </w:rPr>
        <w:t xml:space="preserve"> u gheluq</w:t>
      </w:r>
      <w:r w:rsidR="007D3EA2">
        <w:rPr>
          <w:rFonts w:ascii="Times New Roman" w:eastAsiaTheme="minorEastAsia" w:hAnsi="Times New Roman" w:cs="Times New Roman"/>
          <w:kern w:val="0"/>
          <w:sz w:val="24"/>
          <w:szCs w:val="24"/>
          <w:lang w:val="it-IT"/>
          <w14:ligatures w14:val="none"/>
        </w:rPr>
        <w:t xml:space="preserve"> ta’ </w:t>
      </w:r>
      <w:r w:rsidR="00FE3E80">
        <w:rPr>
          <w:rFonts w:ascii="Times New Roman" w:eastAsiaTheme="minorEastAsia" w:hAnsi="Times New Roman" w:cs="Times New Roman"/>
          <w:kern w:val="0"/>
          <w:sz w:val="24"/>
          <w:szCs w:val="24"/>
          <w:lang w:val="it-IT"/>
          <w14:ligatures w14:val="none"/>
        </w:rPr>
        <w:t>bibien. I</w:t>
      </w:r>
      <w:r w:rsidR="002944D6">
        <w:rPr>
          <w:rFonts w:ascii="Times New Roman" w:eastAsiaTheme="minorEastAsia" w:hAnsi="Times New Roman" w:cs="Times New Roman"/>
          <w:kern w:val="0"/>
          <w:sz w:val="24"/>
          <w:szCs w:val="24"/>
          <w:lang w:val="it-IT"/>
          <w14:ligatures w14:val="none"/>
        </w:rPr>
        <w:t>l</w:t>
      </w:r>
      <w:r w:rsidR="00FE3E80">
        <w:rPr>
          <w:rFonts w:ascii="Times New Roman" w:eastAsiaTheme="minorEastAsia" w:hAnsi="Times New Roman" w:cs="Times New Roman"/>
          <w:kern w:val="0"/>
          <w:sz w:val="24"/>
          <w:szCs w:val="24"/>
          <w:lang w:val="it-IT"/>
          <w14:ligatures w14:val="none"/>
        </w:rPr>
        <w:t>-Perit Schembri</w:t>
      </w:r>
      <w:r w:rsidR="00600E3C">
        <w:rPr>
          <w:rFonts w:ascii="Times New Roman" w:eastAsiaTheme="minorEastAsia" w:hAnsi="Times New Roman" w:cs="Times New Roman"/>
          <w:kern w:val="0"/>
          <w:sz w:val="24"/>
          <w:szCs w:val="24"/>
          <w:lang w:val="it-IT"/>
          <w14:ligatures w14:val="none"/>
        </w:rPr>
        <w:t>, oltre x-xhieda tieghu,</w:t>
      </w:r>
      <w:r w:rsidR="002944D6">
        <w:rPr>
          <w:rFonts w:ascii="Times New Roman" w:eastAsiaTheme="minorEastAsia" w:hAnsi="Times New Roman" w:cs="Times New Roman"/>
          <w:kern w:val="0"/>
          <w:sz w:val="24"/>
          <w:szCs w:val="24"/>
          <w:lang w:val="it-IT"/>
          <w14:ligatures w14:val="none"/>
        </w:rPr>
        <w:t xml:space="preserve"> dahhal dikjarazzjoni li x-xogholijiet ma jaqghux taht i</w:t>
      </w:r>
      <w:r w:rsidR="00440782">
        <w:rPr>
          <w:rFonts w:ascii="Times New Roman" w:eastAsiaTheme="minorEastAsia" w:hAnsi="Times New Roman" w:cs="Times New Roman"/>
          <w:kern w:val="0"/>
          <w:sz w:val="24"/>
          <w:szCs w:val="24"/>
          <w:lang w:val="it-IT"/>
          <w14:ligatures w14:val="none"/>
        </w:rPr>
        <w:t xml:space="preserve">r-Regolament 136 tal-2019 </w:t>
      </w:r>
      <w:r w:rsidR="00B477AD">
        <w:rPr>
          <w:rFonts w:ascii="Times New Roman" w:eastAsiaTheme="minorEastAsia" w:hAnsi="Times New Roman" w:cs="Times New Roman"/>
          <w:kern w:val="0"/>
          <w:sz w:val="24"/>
          <w:szCs w:val="24"/>
          <w:lang w:val="it-IT"/>
          <w14:ligatures w14:val="none"/>
        </w:rPr>
        <w:t>proprju skont il-linji gwida tal-</w:t>
      </w:r>
      <w:r w:rsidR="00462ACB">
        <w:rPr>
          <w:rFonts w:ascii="Times New Roman" w:eastAsiaTheme="minorEastAsia" w:hAnsi="Times New Roman" w:cs="Times New Roman"/>
          <w:kern w:val="0"/>
          <w:sz w:val="24"/>
          <w:szCs w:val="24"/>
          <w:lang w:val="it-IT"/>
          <w14:ligatures w14:val="none"/>
        </w:rPr>
        <w:t>Kamra tal-Periti liema dikjarazzjoni</w:t>
      </w:r>
      <w:r w:rsidR="00600E3C">
        <w:rPr>
          <w:rFonts w:ascii="Times New Roman" w:eastAsiaTheme="minorEastAsia" w:hAnsi="Times New Roman" w:cs="Times New Roman"/>
          <w:kern w:val="0"/>
          <w:sz w:val="24"/>
          <w:szCs w:val="24"/>
          <w:lang w:val="it-IT"/>
          <w14:ligatures w14:val="none"/>
        </w:rPr>
        <w:t xml:space="preserve"> tinsab annessa mal-appell u</w:t>
      </w:r>
      <w:r w:rsidR="00931BB2">
        <w:rPr>
          <w:rFonts w:ascii="Times New Roman" w:eastAsiaTheme="minorEastAsia" w:hAnsi="Times New Roman" w:cs="Times New Roman"/>
          <w:kern w:val="0"/>
          <w:sz w:val="24"/>
          <w:szCs w:val="24"/>
          <w:lang w:val="it-IT"/>
          <w14:ligatures w14:val="none"/>
        </w:rPr>
        <w:t xml:space="preserve"> -</w:t>
      </w:r>
      <w:r w:rsidR="00AE3548">
        <w:rPr>
          <w:rFonts w:ascii="Times New Roman" w:eastAsiaTheme="minorEastAsia" w:hAnsi="Times New Roman" w:cs="Times New Roman"/>
          <w:kern w:val="0"/>
          <w:sz w:val="24"/>
          <w:szCs w:val="24"/>
          <w:lang w:val="it-IT"/>
          <w14:ligatures w14:val="none"/>
        </w:rPr>
        <w:t xml:space="preserve"> ghalkemm prezentata wara d-d</w:t>
      </w:r>
      <w:r w:rsidR="00D72DE9">
        <w:rPr>
          <w:rFonts w:ascii="Times New Roman" w:eastAsiaTheme="minorEastAsia" w:hAnsi="Times New Roman" w:cs="Times New Roman"/>
          <w:kern w:val="0"/>
          <w:sz w:val="24"/>
          <w:szCs w:val="24"/>
          <w:lang w:val="it-IT"/>
          <w14:ligatures w14:val="none"/>
        </w:rPr>
        <w:t>ecizjoni appellata -</w:t>
      </w:r>
      <w:r w:rsidR="00462ACB">
        <w:rPr>
          <w:rFonts w:ascii="Times New Roman" w:eastAsiaTheme="minorEastAsia" w:hAnsi="Times New Roman" w:cs="Times New Roman"/>
          <w:kern w:val="0"/>
          <w:sz w:val="24"/>
          <w:szCs w:val="24"/>
          <w:lang w:val="it-IT"/>
          <w14:ligatures w14:val="none"/>
        </w:rPr>
        <w:t xml:space="preserve"> baqghet qatt ma giet kkontradetta b’xi mod mill-Awtorita`</w:t>
      </w:r>
      <w:r w:rsidR="00FC7C52">
        <w:rPr>
          <w:rFonts w:ascii="Times New Roman" w:eastAsiaTheme="minorEastAsia" w:hAnsi="Times New Roman" w:cs="Times New Roman"/>
          <w:kern w:val="0"/>
          <w:sz w:val="24"/>
          <w:szCs w:val="24"/>
          <w:lang w:val="it-IT"/>
          <w14:ligatures w14:val="none"/>
        </w:rPr>
        <w:t xml:space="preserve"> fir-rigward tal-kontenut taghha</w:t>
      </w:r>
      <w:r w:rsidR="007C5750">
        <w:rPr>
          <w:rFonts w:ascii="Times New Roman" w:eastAsiaTheme="minorEastAsia" w:hAnsi="Times New Roman" w:cs="Times New Roman"/>
          <w:kern w:val="0"/>
          <w:sz w:val="24"/>
          <w:szCs w:val="24"/>
          <w:lang w:val="it-IT"/>
          <w14:ligatures w14:val="none"/>
        </w:rPr>
        <w:t>. Fil-fatt, mi</w:t>
      </w:r>
      <w:r w:rsidR="00D21277">
        <w:rPr>
          <w:rFonts w:ascii="Times New Roman" w:eastAsiaTheme="minorEastAsia" w:hAnsi="Times New Roman" w:cs="Times New Roman"/>
          <w:kern w:val="0"/>
          <w:sz w:val="24"/>
          <w:szCs w:val="24"/>
          <w:lang w:val="it-IT"/>
          <w14:ligatures w14:val="none"/>
        </w:rPr>
        <w:t>t-Trail of Events jirrizulta biss li l-uniku xoghol li sar kien dak ta’ bieb li inghalaq u iehor li nfetah</w:t>
      </w:r>
      <w:r w:rsidR="00345799">
        <w:rPr>
          <w:rFonts w:ascii="Times New Roman" w:eastAsiaTheme="minorEastAsia" w:hAnsi="Times New Roman" w:cs="Times New Roman"/>
          <w:kern w:val="0"/>
          <w:sz w:val="24"/>
          <w:szCs w:val="24"/>
          <w:lang w:val="it-IT"/>
          <w14:ligatures w14:val="none"/>
        </w:rPr>
        <w:t>. M</w:t>
      </w:r>
      <w:r w:rsidR="009E7525">
        <w:rPr>
          <w:rFonts w:ascii="Times New Roman" w:eastAsiaTheme="minorEastAsia" w:hAnsi="Times New Roman" w:cs="Times New Roman"/>
          <w:kern w:val="0"/>
          <w:sz w:val="24"/>
          <w:szCs w:val="24"/>
          <w:lang w:val="it-IT"/>
          <w14:ligatures w14:val="none"/>
        </w:rPr>
        <w:t xml:space="preserve">a ssir </w:t>
      </w:r>
      <w:r w:rsidR="00D21277">
        <w:rPr>
          <w:rFonts w:ascii="Times New Roman" w:eastAsiaTheme="minorEastAsia" w:hAnsi="Times New Roman" w:cs="Times New Roman"/>
          <w:kern w:val="0"/>
          <w:sz w:val="24"/>
          <w:szCs w:val="24"/>
          <w:lang w:val="it-IT"/>
          <w14:ligatures w14:val="none"/>
        </w:rPr>
        <w:t>l-ebda referenza</w:t>
      </w:r>
      <w:r w:rsidR="00600E3C">
        <w:rPr>
          <w:rFonts w:ascii="Times New Roman" w:eastAsiaTheme="minorEastAsia" w:hAnsi="Times New Roman" w:cs="Times New Roman"/>
          <w:kern w:val="0"/>
          <w:sz w:val="24"/>
          <w:szCs w:val="24"/>
          <w:lang w:val="it-IT"/>
          <w14:ligatures w14:val="none"/>
        </w:rPr>
        <w:t xml:space="preserve"> mill-ufficjal</w:t>
      </w:r>
      <w:r w:rsidR="00D21277">
        <w:rPr>
          <w:rFonts w:ascii="Times New Roman" w:eastAsiaTheme="minorEastAsia" w:hAnsi="Times New Roman" w:cs="Times New Roman"/>
          <w:kern w:val="0"/>
          <w:sz w:val="24"/>
          <w:szCs w:val="24"/>
          <w:lang w:val="it-IT"/>
          <w14:ligatures w14:val="none"/>
        </w:rPr>
        <w:t xml:space="preserve"> ghal kif dan ix-xoghol seta’ jaffetwa terzi persuni</w:t>
      </w:r>
      <w:r w:rsidR="00553A5D">
        <w:rPr>
          <w:rFonts w:ascii="Times New Roman" w:eastAsiaTheme="minorEastAsia" w:hAnsi="Times New Roman" w:cs="Times New Roman"/>
          <w:kern w:val="0"/>
          <w:sz w:val="24"/>
          <w:szCs w:val="24"/>
          <w:lang w:val="it-IT"/>
          <w14:ligatures w14:val="none"/>
        </w:rPr>
        <w:t xml:space="preserve"> </w:t>
      </w:r>
      <w:r w:rsidR="00345799">
        <w:rPr>
          <w:rFonts w:ascii="Times New Roman" w:eastAsiaTheme="minorEastAsia" w:hAnsi="Times New Roman" w:cs="Times New Roman"/>
          <w:kern w:val="0"/>
          <w:sz w:val="24"/>
          <w:szCs w:val="24"/>
          <w:lang w:val="it-IT"/>
          <w14:ligatures w14:val="none"/>
        </w:rPr>
        <w:t xml:space="preserve">u lanqas ma trssqet xi </w:t>
      </w:r>
      <w:r w:rsidR="00553A5D">
        <w:rPr>
          <w:rFonts w:ascii="Times New Roman" w:eastAsiaTheme="minorEastAsia" w:hAnsi="Times New Roman" w:cs="Times New Roman"/>
          <w:kern w:val="0"/>
          <w:sz w:val="24"/>
          <w:szCs w:val="24"/>
          <w:lang w:val="it-IT"/>
          <w14:ligatures w14:val="none"/>
        </w:rPr>
        <w:t xml:space="preserve"> prova dwar jekk il-hitan affetwati humiex </w:t>
      </w:r>
      <w:r w:rsidR="00AE3548" w:rsidRPr="00AE3548">
        <w:rPr>
          <w:rFonts w:ascii="Times New Roman" w:eastAsiaTheme="minorEastAsia" w:hAnsi="Times New Roman" w:cs="Times New Roman"/>
          <w:i/>
          <w:iCs/>
          <w:kern w:val="0"/>
          <w:sz w:val="24"/>
          <w:szCs w:val="24"/>
          <w:lang w:val="it-IT"/>
          <w14:ligatures w14:val="none"/>
        </w:rPr>
        <w:t>load bearing structures</w:t>
      </w:r>
      <w:r w:rsidR="00C64446">
        <w:rPr>
          <w:rFonts w:ascii="Times New Roman" w:eastAsiaTheme="minorEastAsia" w:hAnsi="Times New Roman" w:cs="Times New Roman"/>
          <w:kern w:val="0"/>
          <w:sz w:val="24"/>
          <w:szCs w:val="24"/>
          <w:lang w:val="it-IT"/>
          <w14:ligatures w14:val="none"/>
        </w:rPr>
        <w:t xml:space="preserve">. It-Tribunal ikkunsidra wkoll li l-Awtorita` agixxiet abbazi ta’ rapport li allega xoghol li qed isehh fil-komun </w:t>
      </w:r>
      <w:r w:rsidR="00553A5D">
        <w:rPr>
          <w:rFonts w:ascii="Times New Roman" w:eastAsiaTheme="minorEastAsia" w:hAnsi="Times New Roman" w:cs="Times New Roman"/>
          <w:kern w:val="0"/>
          <w:sz w:val="24"/>
          <w:szCs w:val="24"/>
          <w:lang w:val="it-IT"/>
          <w14:ligatures w14:val="none"/>
        </w:rPr>
        <w:t>liema xogholijiet bl-ebda mod ma gew riskontrati fuq is-sit mill-ufficjal inkarigat.</w:t>
      </w:r>
      <w:r w:rsidR="00B70B82">
        <w:rPr>
          <w:rFonts w:ascii="Times New Roman" w:eastAsiaTheme="minorEastAsia" w:hAnsi="Times New Roman" w:cs="Times New Roman"/>
          <w:kern w:val="0"/>
          <w:sz w:val="24"/>
          <w:szCs w:val="24"/>
          <w:lang w:val="it-IT"/>
          <w14:ligatures w14:val="none"/>
        </w:rPr>
        <w:t xml:space="preserve"> </w:t>
      </w:r>
      <w:r w:rsidR="00553A5D">
        <w:rPr>
          <w:rFonts w:ascii="Times New Roman" w:eastAsiaTheme="minorEastAsia" w:hAnsi="Times New Roman" w:cs="Times New Roman"/>
          <w:kern w:val="0"/>
          <w:sz w:val="24"/>
          <w:szCs w:val="24"/>
          <w:lang w:val="it-IT"/>
          <w14:ligatures w14:val="none"/>
        </w:rPr>
        <w:t xml:space="preserve"> </w:t>
      </w:r>
      <w:bookmarkStart w:id="1" w:name="_Hlk191911478"/>
      <w:bookmarkEnd w:id="0"/>
    </w:p>
    <w:bookmarkEnd w:id="1"/>
    <w:p w14:paraId="06E0D0DD" w14:textId="77777777" w:rsidR="009E7525" w:rsidRDefault="009E7525" w:rsidP="00CA335E">
      <w:pPr>
        <w:spacing w:after="0" w:line="360" w:lineRule="auto"/>
        <w:jc w:val="both"/>
        <w:rPr>
          <w:rFonts w:ascii="Times New Roman" w:eastAsiaTheme="minorEastAsia" w:hAnsi="Times New Roman" w:cs="Times New Roman"/>
          <w:kern w:val="0"/>
          <w:sz w:val="24"/>
          <w:szCs w:val="24"/>
          <w:lang w:val="it-IT"/>
          <w14:ligatures w14:val="none"/>
        </w:rPr>
      </w:pPr>
    </w:p>
    <w:p w14:paraId="45D5DBF1" w14:textId="70DC5045" w:rsidR="00CA335E" w:rsidRPr="00CA335E" w:rsidRDefault="009E7525" w:rsidP="00CA335E">
      <w:pPr>
        <w:spacing w:after="0" w:line="360" w:lineRule="auto"/>
        <w:jc w:val="both"/>
        <w:rPr>
          <w:rFonts w:ascii="Times New Roman" w:eastAsiaTheme="minorEastAsia" w:hAnsi="Times New Roman" w:cs="Times New Roman"/>
          <w:kern w:val="0"/>
          <w:sz w:val="24"/>
          <w:szCs w:val="24"/>
          <w:lang w:val="it-IT"/>
          <w14:ligatures w14:val="none"/>
        </w:rPr>
      </w:pPr>
      <w:r>
        <w:rPr>
          <w:rFonts w:ascii="Times New Roman" w:eastAsiaTheme="minorEastAsia" w:hAnsi="Times New Roman" w:cs="Times New Roman"/>
          <w:kern w:val="0"/>
          <w:sz w:val="24"/>
          <w:szCs w:val="24"/>
          <w:lang w:val="it-IT"/>
          <w14:ligatures w14:val="none"/>
        </w:rPr>
        <w:lastRenderedPageBreak/>
        <w:t>Ghaldaqstant</w:t>
      </w:r>
      <w:r w:rsidR="00797ED1">
        <w:rPr>
          <w:rFonts w:ascii="Times New Roman" w:eastAsiaTheme="minorEastAsia" w:hAnsi="Times New Roman" w:cs="Times New Roman"/>
          <w:kern w:val="0"/>
          <w:sz w:val="24"/>
          <w:szCs w:val="24"/>
          <w:lang w:val="it-IT"/>
          <w14:ligatures w14:val="none"/>
        </w:rPr>
        <w:t xml:space="preserve"> </w:t>
      </w:r>
      <w:r w:rsidR="00A34A7A">
        <w:rPr>
          <w:rFonts w:ascii="Times New Roman" w:eastAsiaTheme="minorEastAsia" w:hAnsi="Times New Roman" w:cs="Times New Roman"/>
          <w:kern w:val="0"/>
          <w:sz w:val="24"/>
          <w:szCs w:val="24"/>
          <w:lang w:val="it-IT"/>
          <w14:ligatures w14:val="none"/>
        </w:rPr>
        <w:t xml:space="preserve">filwaqt li </w:t>
      </w:r>
      <w:r w:rsidR="00797ED1">
        <w:rPr>
          <w:rFonts w:ascii="Times New Roman" w:eastAsiaTheme="minorEastAsia" w:hAnsi="Times New Roman" w:cs="Times New Roman"/>
          <w:kern w:val="0"/>
          <w:sz w:val="24"/>
          <w:szCs w:val="24"/>
          <w:lang w:val="it-IT"/>
          <w14:ligatures w14:val="none"/>
        </w:rPr>
        <w:t>t-Tribunal isib</w:t>
      </w:r>
      <w:r w:rsidR="00A34A7A">
        <w:rPr>
          <w:rFonts w:ascii="Times New Roman" w:eastAsiaTheme="minorEastAsia" w:hAnsi="Times New Roman" w:cs="Times New Roman"/>
          <w:kern w:val="0"/>
          <w:sz w:val="24"/>
          <w:szCs w:val="24"/>
          <w:lang w:val="it-IT"/>
          <w14:ligatures w14:val="none"/>
        </w:rPr>
        <w:t xml:space="preserve"> li l-Awtorita` ma rnexxilhiex tipprova li x-xogholijiet riskontrati fuq is-sit </w:t>
      </w:r>
      <w:r w:rsidR="009D5C89">
        <w:rPr>
          <w:rFonts w:ascii="Times New Roman" w:eastAsiaTheme="minorEastAsia" w:hAnsi="Times New Roman" w:cs="Times New Roman"/>
          <w:kern w:val="0"/>
          <w:sz w:val="24"/>
          <w:szCs w:val="24"/>
          <w:lang w:val="it-IT"/>
          <w14:ligatures w14:val="none"/>
        </w:rPr>
        <w:t>kienu xogholijiet skont ir-Reg 4 tal-LS 623.06, ser jghaddi sabiex jilqa’ l-appell kif dedott</w:t>
      </w:r>
      <w:r w:rsidR="00797ED1">
        <w:rPr>
          <w:rFonts w:ascii="Times New Roman" w:eastAsiaTheme="minorEastAsia" w:hAnsi="Times New Roman" w:cs="Times New Roman"/>
          <w:kern w:val="0"/>
          <w:sz w:val="24"/>
          <w:szCs w:val="24"/>
          <w:lang w:val="it-IT"/>
          <w14:ligatures w14:val="none"/>
        </w:rPr>
        <w:t>.</w:t>
      </w:r>
    </w:p>
    <w:p w14:paraId="38638BDC" w14:textId="77777777" w:rsidR="00CA335E" w:rsidRPr="00CA335E"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p>
    <w:p w14:paraId="5DF9528F" w14:textId="77777777" w:rsidR="00CA335E" w:rsidRPr="00CA335E" w:rsidRDefault="00CA335E" w:rsidP="00CA335E">
      <w:pPr>
        <w:spacing w:after="0" w:line="360" w:lineRule="auto"/>
        <w:jc w:val="both"/>
        <w:rPr>
          <w:rFonts w:ascii="Times New Roman" w:eastAsiaTheme="minorEastAsia" w:hAnsi="Times New Roman" w:cs="Times New Roman"/>
          <w:kern w:val="0"/>
          <w:sz w:val="24"/>
          <w:szCs w:val="24"/>
          <w:lang w:val="it-IT"/>
          <w14:ligatures w14:val="none"/>
        </w:rPr>
      </w:pPr>
    </w:p>
    <w:p w14:paraId="0951E3C2"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r w:rsidRPr="00CA335E">
        <w:rPr>
          <w:rFonts w:ascii="Times New Roman" w:eastAsiaTheme="minorEastAsia" w:hAnsi="Times New Roman" w:cs="Times New Roman"/>
          <w:b/>
          <w:kern w:val="0"/>
          <w:sz w:val="24"/>
          <w:szCs w:val="24"/>
          <w:lang w:val="mt-MT"/>
          <w14:ligatures w14:val="none"/>
        </w:rPr>
        <w:t>Decide</w:t>
      </w:r>
    </w:p>
    <w:p w14:paraId="259B335D" w14:textId="77777777" w:rsidR="00CA335E" w:rsidRPr="00CA335E" w:rsidRDefault="00CA335E" w:rsidP="00CA335E">
      <w:pPr>
        <w:spacing w:after="0" w:line="360" w:lineRule="auto"/>
        <w:jc w:val="both"/>
        <w:rPr>
          <w:rFonts w:ascii="Times New Roman" w:eastAsiaTheme="minorEastAsia" w:hAnsi="Times New Roman" w:cs="Times New Roman"/>
          <w:b/>
          <w:kern w:val="0"/>
          <w:sz w:val="24"/>
          <w:szCs w:val="24"/>
          <w:lang w:val="mt-MT"/>
          <w14:ligatures w14:val="none"/>
        </w:rPr>
      </w:pPr>
    </w:p>
    <w:p w14:paraId="4E0E3EDE" w14:textId="5381D2F1"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r w:rsidRPr="00CA335E">
        <w:rPr>
          <w:rFonts w:ascii="Times New Roman" w:eastAsiaTheme="minorEastAsia" w:hAnsi="Times New Roman" w:cs="Times New Roman"/>
          <w:bCs/>
          <w:kern w:val="0"/>
          <w:sz w:val="24"/>
          <w:szCs w:val="24"/>
          <w:lang w:val="mt-MT"/>
          <w14:ligatures w14:val="none"/>
        </w:rPr>
        <w:t xml:space="preserve">Għaldaqstant it-Tribunal, in vista tar-raġunijiet imsemmija hawn fuq qiegħed jichad </w:t>
      </w:r>
      <w:r w:rsidR="00AD44B3">
        <w:rPr>
          <w:rFonts w:ascii="Times New Roman" w:eastAsiaTheme="minorEastAsia" w:hAnsi="Times New Roman" w:cs="Times New Roman"/>
          <w:bCs/>
          <w:kern w:val="0"/>
          <w:sz w:val="24"/>
          <w:szCs w:val="24"/>
          <w:lang w:val="mt-MT"/>
          <w14:ligatures w14:val="none"/>
        </w:rPr>
        <w:t xml:space="preserve">ir-risposta tal-Awtorita`, konsegwentement jilqa’ </w:t>
      </w:r>
      <w:r w:rsidRPr="00CA335E">
        <w:rPr>
          <w:rFonts w:ascii="Times New Roman" w:eastAsiaTheme="minorEastAsia" w:hAnsi="Times New Roman" w:cs="Times New Roman"/>
          <w:bCs/>
          <w:kern w:val="0"/>
          <w:sz w:val="24"/>
          <w:szCs w:val="24"/>
          <w:lang w:val="mt-MT"/>
          <w14:ligatures w14:val="none"/>
        </w:rPr>
        <w:t>l-appell u kwindi ji</w:t>
      </w:r>
      <w:r w:rsidR="00AD44B3">
        <w:rPr>
          <w:rFonts w:ascii="Times New Roman" w:eastAsiaTheme="minorEastAsia" w:hAnsi="Times New Roman" w:cs="Times New Roman"/>
          <w:bCs/>
          <w:kern w:val="0"/>
          <w:sz w:val="24"/>
          <w:szCs w:val="24"/>
          <w:lang w:val="mt-MT"/>
          <w14:ligatures w14:val="none"/>
        </w:rPr>
        <w:t xml:space="preserve">rrevoka </w:t>
      </w:r>
      <w:r w:rsidRPr="00CA335E">
        <w:rPr>
          <w:rFonts w:ascii="Times New Roman" w:eastAsiaTheme="minorEastAsia" w:hAnsi="Times New Roman" w:cs="Times New Roman"/>
          <w:bCs/>
          <w:kern w:val="0"/>
          <w:sz w:val="24"/>
          <w:szCs w:val="24"/>
          <w:lang w:val="mt-MT"/>
          <w14:ligatures w14:val="none"/>
        </w:rPr>
        <w:t xml:space="preserve">d-decizjoni appellata datata </w:t>
      </w:r>
      <w:r w:rsidR="00FC7C52">
        <w:rPr>
          <w:rFonts w:ascii="Times New Roman" w:eastAsiaTheme="minorEastAsia" w:hAnsi="Times New Roman" w:cs="Times New Roman"/>
          <w:bCs/>
          <w:kern w:val="0"/>
          <w:sz w:val="24"/>
          <w:szCs w:val="24"/>
          <w:lang w:val="mt-MT"/>
          <w14:ligatures w14:val="none"/>
        </w:rPr>
        <w:t>21</w:t>
      </w:r>
      <w:r w:rsidRPr="00CA335E">
        <w:rPr>
          <w:rFonts w:ascii="Times New Roman" w:eastAsiaTheme="minorEastAsia" w:hAnsi="Times New Roman" w:cs="Times New Roman"/>
          <w:bCs/>
          <w:kern w:val="0"/>
          <w:sz w:val="24"/>
          <w:szCs w:val="24"/>
          <w:lang w:val="mt-MT"/>
          <w14:ligatures w14:val="none"/>
        </w:rPr>
        <w:t xml:space="preserve"> ta’ Jannar, 2025. </w:t>
      </w:r>
    </w:p>
    <w:p w14:paraId="138E9A73" w14:textId="77777777" w:rsid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1F48BD5A" w14:textId="77777777" w:rsidR="005B5163" w:rsidRDefault="005B5163"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1DBE08A6" w14:textId="77777777" w:rsidR="005B5163" w:rsidRPr="00CA335E" w:rsidRDefault="005B5163"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60C7F269" w14:textId="77777777" w:rsidR="00CA335E" w:rsidRPr="00CA335E" w:rsidRDefault="00CA335E" w:rsidP="00CA335E">
      <w:pPr>
        <w:spacing w:after="0" w:line="360" w:lineRule="auto"/>
        <w:jc w:val="both"/>
        <w:rPr>
          <w:rFonts w:ascii="Times New Roman" w:eastAsiaTheme="minorEastAsia" w:hAnsi="Times New Roman" w:cs="Times New Roman"/>
          <w:bCs/>
          <w:kern w:val="0"/>
          <w:sz w:val="24"/>
          <w:szCs w:val="24"/>
          <w:lang w:val="mt-MT"/>
          <w14:ligatures w14:val="none"/>
        </w:rPr>
      </w:pPr>
    </w:p>
    <w:p w14:paraId="71AB8EAB" w14:textId="77777777" w:rsidR="00CA335E" w:rsidRPr="00CA335E" w:rsidRDefault="00CA335E" w:rsidP="00CA335E">
      <w:pPr>
        <w:spacing w:after="0" w:line="360" w:lineRule="auto"/>
        <w:jc w:val="both"/>
        <w:rPr>
          <w:rFonts w:ascii="Times New Roman" w:eastAsiaTheme="minorEastAsia" w:hAnsi="Times New Roman" w:cs="Times New Roman"/>
          <w:b/>
          <w:color w:val="000000"/>
          <w:kern w:val="0"/>
          <w:sz w:val="24"/>
          <w:szCs w:val="24"/>
          <w:lang w:val="en-US"/>
          <w14:ligatures w14:val="none"/>
        </w:rPr>
      </w:pPr>
      <w:r w:rsidRPr="00CA335E">
        <w:rPr>
          <w:rFonts w:ascii="Times New Roman" w:eastAsiaTheme="minorEastAsia" w:hAnsi="Times New Roman" w:cs="Times New Roman"/>
          <w:b/>
          <w:color w:val="000000"/>
          <w:kern w:val="0"/>
          <w:sz w:val="24"/>
          <w:szCs w:val="24"/>
          <w:lang w:val="en-US"/>
          <w14:ligatures w14:val="none"/>
        </w:rPr>
        <w:t xml:space="preserve">Dr Philip M. Magri </w:t>
      </w:r>
      <w:r w:rsidRPr="00CA335E">
        <w:rPr>
          <w:rFonts w:ascii="Times New Roman" w:eastAsiaTheme="minorEastAsia" w:hAnsi="Times New Roman" w:cs="Times New Roman"/>
          <w:b/>
          <w:color w:val="000000"/>
          <w:kern w:val="0"/>
          <w:sz w:val="24"/>
          <w:szCs w:val="24"/>
          <w:lang w:val="en-US"/>
          <w14:ligatures w14:val="none"/>
        </w:rPr>
        <w:tab/>
      </w:r>
      <w:r w:rsidRPr="00CA335E">
        <w:rPr>
          <w:rFonts w:ascii="Times New Roman" w:eastAsiaTheme="minorEastAsia" w:hAnsi="Times New Roman" w:cs="Times New Roman"/>
          <w:b/>
          <w:color w:val="000000"/>
          <w:kern w:val="0"/>
          <w:sz w:val="24"/>
          <w:szCs w:val="24"/>
          <w:lang w:val="en-US"/>
          <w14:ligatures w14:val="none"/>
        </w:rPr>
        <w:tab/>
        <w:t xml:space="preserve">Perit Robert </w:t>
      </w:r>
      <w:proofErr w:type="spellStart"/>
      <w:r w:rsidRPr="00CA335E">
        <w:rPr>
          <w:rFonts w:ascii="Times New Roman" w:eastAsiaTheme="minorEastAsia" w:hAnsi="Times New Roman" w:cs="Times New Roman"/>
          <w:b/>
          <w:color w:val="000000"/>
          <w:kern w:val="0"/>
          <w:sz w:val="24"/>
          <w:szCs w:val="24"/>
          <w:lang w:val="en-US"/>
          <w14:ligatures w14:val="none"/>
        </w:rPr>
        <w:t>Sersero</w:t>
      </w:r>
      <w:proofErr w:type="spellEnd"/>
      <w:r w:rsidRPr="00CA335E">
        <w:rPr>
          <w:rFonts w:ascii="Times New Roman" w:eastAsiaTheme="minorEastAsia" w:hAnsi="Times New Roman" w:cs="Times New Roman"/>
          <w:b/>
          <w:color w:val="000000"/>
          <w:kern w:val="0"/>
          <w:sz w:val="24"/>
          <w:szCs w:val="24"/>
          <w:lang w:val="en-US"/>
          <w14:ligatures w14:val="none"/>
        </w:rPr>
        <w:t xml:space="preserve"> </w:t>
      </w:r>
      <w:r w:rsidRPr="00CA335E">
        <w:rPr>
          <w:rFonts w:ascii="Times New Roman" w:eastAsiaTheme="minorEastAsia" w:hAnsi="Times New Roman" w:cs="Times New Roman"/>
          <w:b/>
          <w:color w:val="000000"/>
          <w:kern w:val="0"/>
          <w:sz w:val="24"/>
          <w:szCs w:val="24"/>
          <w:lang w:val="en-US"/>
          <w14:ligatures w14:val="none"/>
        </w:rPr>
        <w:tab/>
        <w:t xml:space="preserve">Ing. Anthony Camilleri </w:t>
      </w:r>
      <w:r w:rsidRPr="00CA335E">
        <w:rPr>
          <w:rFonts w:ascii="Times New Roman" w:eastAsiaTheme="minorEastAsia" w:hAnsi="Times New Roman" w:cs="Times New Roman"/>
          <w:b/>
          <w:color w:val="000000"/>
          <w:kern w:val="0"/>
          <w:sz w:val="24"/>
          <w:szCs w:val="24"/>
          <w:lang w:val="en-US"/>
          <w14:ligatures w14:val="none"/>
        </w:rPr>
        <w:tab/>
      </w:r>
    </w:p>
    <w:p w14:paraId="5D8D1EDF" w14:textId="77777777" w:rsidR="00CA335E" w:rsidRPr="00CA335E" w:rsidRDefault="00CA335E" w:rsidP="00CA335E">
      <w:pPr>
        <w:spacing w:after="0" w:line="360" w:lineRule="auto"/>
        <w:jc w:val="both"/>
        <w:rPr>
          <w:rFonts w:ascii="Helvetica" w:eastAsiaTheme="minorEastAsia" w:hAnsi="Helvetica"/>
          <w:kern w:val="0"/>
          <w:u w:val="single"/>
          <w:lang w:val="en-US"/>
          <w14:ligatures w14:val="none"/>
        </w:rPr>
      </w:pPr>
      <w:r w:rsidRPr="00CA335E">
        <w:rPr>
          <w:rFonts w:ascii="Times New Roman" w:eastAsiaTheme="minorEastAsia" w:hAnsi="Times New Roman" w:cs="Times New Roman"/>
          <w:color w:val="000000"/>
          <w:kern w:val="0"/>
          <w:sz w:val="24"/>
          <w:szCs w:val="24"/>
          <w:lang w:val="en-US"/>
          <w14:ligatures w14:val="none"/>
        </w:rPr>
        <w:t xml:space="preserve">Chairperson </w:t>
      </w:r>
      <w:r w:rsidRPr="00CA335E">
        <w:rPr>
          <w:rFonts w:ascii="Times New Roman" w:eastAsiaTheme="minorEastAsia" w:hAnsi="Times New Roman" w:cs="Times New Roman"/>
          <w:color w:val="000000"/>
          <w:kern w:val="0"/>
          <w:sz w:val="24"/>
          <w:szCs w:val="24"/>
          <w:lang w:val="en-US"/>
          <w14:ligatures w14:val="none"/>
        </w:rPr>
        <w:tab/>
      </w:r>
      <w:r w:rsidRPr="00CA335E">
        <w:rPr>
          <w:rFonts w:ascii="Times New Roman" w:eastAsiaTheme="minorEastAsia" w:hAnsi="Times New Roman" w:cs="Times New Roman"/>
          <w:color w:val="000000"/>
          <w:kern w:val="0"/>
          <w:sz w:val="24"/>
          <w:szCs w:val="24"/>
          <w:lang w:val="en-US"/>
          <w14:ligatures w14:val="none"/>
        </w:rPr>
        <w:tab/>
      </w:r>
      <w:r w:rsidRPr="00CA335E">
        <w:rPr>
          <w:rFonts w:ascii="Times New Roman" w:eastAsiaTheme="minorEastAsia" w:hAnsi="Times New Roman" w:cs="Times New Roman"/>
          <w:color w:val="000000"/>
          <w:kern w:val="0"/>
          <w:sz w:val="24"/>
          <w:szCs w:val="24"/>
          <w:lang w:val="en-US"/>
          <w14:ligatures w14:val="none"/>
        </w:rPr>
        <w:tab/>
      </w:r>
      <w:proofErr w:type="spellStart"/>
      <w:r w:rsidRPr="00CA335E">
        <w:rPr>
          <w:rFonts w:ascii="Times New Roman" w:eastAsiaTheme="minorEastAsia" w:hAnsi="Times New Roman" w:cs="Times New Roman"/>
          <w:color w:val="000000"/>
          <w:kern w:val="0"/>
          <w:sz w:val="24"/>
          <w:szCs w:val="24"/>
          <w:lang w:val="en-US"/>
          <w14:ligatures w14:val="none"/>
        </w:rPr>
        <w:t>Membru</w:t>
      </w:r>
      <w:proofErr w:type="spellEnd"/>
      <w:r w:rsidRPr="00CA335E">
        <w:rPr>
          <w:rFonts w:ascii="Times New Roman" w:eastAsiaTheme="minorEastAsia" w:hAnsi="Times New Roman" w:cs="Times New Roman"/>
          <w:color w:val="000000"/>
          <w:kern w:val="0"/>
          <w:sz w:val="24"/>
          <w:szCs w:val="24"/>
          <w:lang w:val="en-US"/>
          <w14:ligatures w14:val="none"/>
        </w:rPr>
        <w:tab/>
      </w:r>
      <w:r w:rsidRPr="00CA335E">
        <w:rPr>
          <w:rFonts w:ascii="Times New Roman" w:eastAsiaTheme="minorEastAsia" w:hAnsi="Times New Roman" w:cs="Times New Roman"/>
          <w:color w:val="000000"/>
          <w:kern w:val="0"/>
          <w:sz w:val="24"/>
          <w:szCs w:val="24"/>
          <w:lang w:val="en-US"/>
          <w14:ligatures w14:val="none"/>
        </w:rPr>
        <w:tab/>
      </w:r>
      <w:r w:rsidRPr="00CA335E">
        <w:rPr>
          <w:rFonts w:ascii="Times New Roman" w:eastAsiaTheme="minorEastAsia" w:hAnsi="Times New Roman" w:cs="Times New Roman"/>
          <w:color w:val="000000"/>
          <w:kern w:val="0"/>
          <w:sz w:val="24"/>
          <w:szCs w:val="24"/>
          <w:lang w:val="en-US"/>
          <w14:ligatures w14:val="none"/>
        </w:rPr>
        <w:tab/>
      </w:r>
      <w:proofErr w:type="spellStart"/>
      <w:r w:rsidRPr="00CA335E">
        <w:rPr>
          <w:rFonts w:ascii="Times New Roman" w:eastAsiaTheme="minorEastAsia" w:hAnsi="Times New Roman" w:cs="Times New Roman"/>
          <w:color w:val="000000"/>
          <w:kern w:val="0"/>
          <w:sz w:val="24"/>
          <w:szCs w:val="24"/>
          <w:lang w:val="en-US"/>
          <w14:ligatures w14:val="none"/>
        </w:rPr>
        <w:t>Membru</w:t>
      </w:r>
      <w:proofErr w:type="spellEnd"/>
      <w:r w:rsidRPr="00CA335E">
        <w:rPr>
          <w:rFonts w:ascii="Times New Roman" w:eastAsiaTheme="minorEastAsia" w:hAnsi="Times New Roman" w:cs="Times New Roman"/>
          <w:color w:val="000000"/>
          <w:kern w:val="0"/>
          <w:sz w:val="24"/>
          <w:szCs w:val="24"/>
          <w:lang w:val="en-US"/>
          <w14:ligatures w14:val="none"/>
        </w:rPr>
        <w:t xml:space="preserve"> </w:t>
      </w:r>
    </w:p>
    <w:p w14:paraId="09E62875" w14:textId="77777777" w:rsidR="00E72E4C" w:rsidRDefault="00E72E4C"/>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0FEC"/>
    <w:multiLevelType w:val="hybridMultilevel"/>
    <w:tmpl w:val="66960142"/>
    <w:lvl w:ilvl="0" w:tplc="66F09812">
      <w:start w:val="1"/>
      <w:numFmt w:val="decimal"/>
      <w:lvlText w:val="(%1)"/>
      <w:lvlJc w:val="left"/>
      <w:pPr>
        <w:ind w:left="1047" w:hanging="4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8694760">
    <w:abstractNumId w:val="1"/>
  </w:num>
  <w:num w:numId="2" w16cid:durableId="1925912059">
    <w:abstractNumId w:val="2"/>
  </w:num>
  <w:num w:numId="3" w16cid:durableId="990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5E"/>
    <w:rsid w:val="00024866"/>
    <w:rsid w:val="00134395"/>
    <w:rsid w:val="00157A92"/>
    <w:rsid w:val="00161593"/>
    <w:rsid w:val="001D346E"/>
    <w:rsid w:val="002944D6"/>
    <w:rsid w:val="0033757D"/>
    <w:rsid w:val="00345799"/>
    <w:rsid w:val="003633FD"/>
    <w:rsid w:val="00440782"/>
    <w:rsid w:val="00462ACB"/>
    <w:rsid w:val="00537594"/>
    <w:rsid w:val="00553A5D"/>
    <w:rsid w:val="005B5163"/>
    <w:rsid w:val="005E1BB1"/>
    <w:rsid w:val="00600E3C"/>
    <w:rsid w:val="0067321A"/>
    <w:rsid w:val="00716B08"/>
    <w:rsid w:val="00746CD3"/>
    <w:rsid w:val="00797ED1"/>
    <w:rsid w:val="007C5750"/>
    <w:rsid w:val="007D3EA2"/>
    <w:rsid w:val="00814D63"/>
    <w:rsid w:val="0084223F"/>
    <w:rsid w:val="00922838"/>
    <w:rsid w:val="00931BB2"/>
    <w:rsid w:val="00960575"/>
    <w:rsid w:val="009926D3"/>
    <w:rsid w:val="009D5C89"/>
    <w:rsid w:val="009E382A"/>
    <w:rsid w:val="009E7525"/>
    <w:rsid w:val="00A34A7A"/>
    <w:rsid w:val="00AD44B3"/>
    <w:rsid w:val="00AE3548"/>
    <w:rsid w:val="00B477AD"/>
    <w:rsid w:val="00B70B82"/>
    <w:rsid w:val="00B8014B"/>
    <w:rsid w:val="00B82079"/>
    <w:rsid w:val="00C023EF"/>
    <w:rsid w:val="00C613C6"/>
    <w:rsid w:val="00C64446"/>
    <w:rsid w:val="00C97813"/>
    <w:rsid w:val="00CA0419"/>
    <w:rsid w:val="00CA335E"/>
    <w:rsid w:val="00D21277"/>
    <w:rsid w:val="00D72DE9"/>
    <w:rsid w:val="00E72E4C"/>
    <w:rsid w:val="00E75F02"/>
    <w:rsid w:val="00FC199A"/>
    <w:rsid w:val="00FC7C52"/>
    <w:rsid w:val="00FE3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B40D"/>
  <w15:chartTrackingRefBased/>
  <w15:docId w15:val="{74F083F2-5201-4F57-9D27-0B7398DC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3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3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3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3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3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3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3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3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3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35E"/>
    <w:rPr>
      <w:rFonts w:eastAsiaTheme="majorEastAsia" w:cstheme="majorBidi"/>
      <w:color w:val="272727" w:themeColor="text1" w:themeTint="D8"/>
    </w:rPr>
  </w:style>
  <w:style w:type="paragraph" w:styleId="Title">
    <w:name w:val="Title"/>
    <w:basedOn w:val="Normal"/>
    <w:next w:val="Normal"/>
    <w:link w:val="TitleChar"/>
    <w:uiPriority w:val="10"/>
    <w:qFormat/>
    <w:rsid w:val="00CA3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35E"/>
    <w:pPr>
      <w:spacing w:before="160"/>
      <w:jc w:val="center"/>
    </w:pPr>
    <w:rPr>
      <w:i/>
      <w:iCs/>
      <w:color w:val="404040" w:themeColor="text1" w:themeTint="BF"/>
    </w:rPr>
  </w:style>
  <w:style w:type="character" w:customStyle="1" w:styleId="QuoteChar">
    <w:name w:val="Quote Char"/>
    <w:basedOn w:val="DefaultParagraphFont"/>
    <w:link w:val="Quote"/>
    <w:uiPriority w:val="29"/>
    <w:rsid w:val="00CA335E"/>
    <w:rPr>
      <w:i/>
      <w:iCs/>
      <w:color w:val="404040" w:themeColor="text1" w:themeTint="BF"/>
    </w:rPr>
  </w:style>
  <w:style w:type="paragraph" w:styleId="ListParagraph">
    <w:name w:val="List Paragraph"/>
    <w:basedOn w:val="Normal"/>
    <w:uiPriority w:val="34"/>
    <w:qFormat/>
    <w:rsid w:val="00CA335E"/>
    <w:pPr>
      <w:ind w:left="720"/>
      <w:contextualSpacing/>
    </w:pPr>
  </w:style>
  <w:style w:type="character" w:styleId="IntenseEmphasis">
    <w:name w:val="Intense Emphasis"/>
    <w:basedOn w:val="DefaultParagraphFont"/>
    <w:uiPriority w:val="21"/>
    <w:qFormat/>
    <w:rsid w:val="00CA335E"/>
    <w:rPr>
      <w:i/>
      <w:iCs/>
      <w:color w:val="2F5496" w:themeColor="accent1" w:themeShade="BF"/>
    </w:rPr>
  </w:style>
  <w:style w:type="paragraph" w:styleId="IntenseQuote">
    <w:name w:val="Intense Quote"/>
    <w:basedOn w:val="Normal"/>
    <w:next w:val="Normal"/>
    <w:link w:val="IntenseQuoteChar"/>
    <w:uiPriority w:val="30"/>
    <w:qFormat/>
    <w:rsid w:val="00CA3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35E"/>
    <w:rPr>
      <w:i/>
      <w:iCs/>
      <w:color w:val="2F5496" w:themeColor="accent1" w:themeShade="BF"/>
    </w:rPr>
  </w:style>
  <w:style w:type="character" w:styleId="IntenseReference">
    <w:name w:val="Intense Reference"/>
    <w:basedOn w:val="DefaultParagraphFont"/>
    <w:uiPriority w:val="32"/>
    <w:qFormat/>
    <w:rsid w:val="00CA335E"/>
    <w:rPr>
      <w:b/>
      <w:bCs/>
      <w:smallCaps/>
      <w:color w:val="2F5496" w:themeColor="accent1" w:themeShade="BF"/>
      <w:spacing w:val="5"/>
    </w:rPr>
  </w:style>
  <w:style w:type="character" w:styleId="Hyperlink">
    <w:name w:val="Hyperlink"/>
    <w:basedOn w:val="DefaultParagraphFont"/>
    <w:uiPriority w:val="99"/>
    <w:unhideWhenUsed/>
    <w:rsid w:val="001D346E"/>
    <w:rPr>
      <w:color w:val="0563C1" w:themeColor="hyperlink"/>
      <w:u w:val="single"/>
    </w:rPr>
  </w:style>
  <w:style w:type="character" w:styleId="UnresolvedMention">
    <w:name w:val="Unresolved Mention"/>
    <w:basedOn w:val="DefaultParagraphFont"/>
    <w:uiPriority w:val="99"/>
    <w:semiHidden/>
    <w:unhideWhenUsed/>
    <w:rsid w:val="001D346E"/>
    <w:rPr>
      <w:color w:val="605E5C"/>
      <w:shd w:val="clear" w:color="auto" w:fill="E1DFDD"/>
    </w:rPr>
  </w:style>
  <w:style w:type="character" w:styleId="FollowedHyperlink">
    <w:name w:val="FollowedHyperlink"/>
    <w:basedOn w:val="DefaultParagraphFont"/>
    <w:uiPriority w:val="99"/>
    <w:semiHidden/>
    <w:unhideWhenUsed/>
    <w:rsid w:val="00C61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40</cp:revision>
  <dcterms:created xsi:type="dcterms:W3CDTF">2025-03-24T12:39:00Z</dcterms:created>
  <dcterms:modified xsi:type="dcterms:W3CDTF">2025-03-25T16:26:00Z</dcterms:modified>
</cp:coreProperties>
</file>